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611"/>
        <w:tblW w:w="0" w:type="auto"/>
        <w:shd w:val="clear" w:color="auto" w:fill="EDEDED" w:themeFill="accent3" w:themeFillTint="33"/>
        <w:tblLook w:val="04A0" w:firstRow="1" w:lastRow="0" w:firstColumn="1" w:lastColumn="0" w:noHBand="0" w:noVBand="1"/>
      </w:tblPr>
      <w:tblGrid>
        <w:gridCol w:w="3505"/>
        <w:gridCol w:w="2728"/>
        <w:gridCol w:w="3117"/>
      </w:tblGrid>
      <w:tr w:rsidR="00994C16" w:rsidRPr="0054020C" w14:paraId="74A8ABBE" w14:textId="77777777" w:rsidTr="00994C16">
        <w:trPr>
          <w:trHeight w:val="548"/>
        </w:trPr>
        <w:tc>
          <w:tcPr>
            <w:tcW w:w="3505" w:type="dxa"/>
            <w:shd w:val="clear" w:color="auto" w:fill="EDEDED" w:themeFill="accent3" w:themeFillTint="33"/>
          </w:tcPr>
          <w:p w14:paraId="7E192DAE" w14:textId="10F7D54E" w:rsidR="00A06525" w:rsidRPr="0054020C" w:rsidRDefault="00F738F1" w:rsidP="00A06525">
            <w:r w:rsidRPr="00B14341">
              <w:rPr>
                <w:b/>
                <w:bCs/>
              </w:rPr>
              <w:t>Are</w:t>
            </w:r>
            <w:r w:rsidRPr="00B14341">
              <w:t>a</w:t>
            </w:r>
            <w:r w:rsidR="00A06525" w:rsidRPr="0054020C">
              <w:t xml:space="preserve">: </w:t>
            </w:r>
            <w:r w:rsidR="000928C3">
              <w:t>All facilities</w:t>
            </w:r>
          </w:p>
        </w:tc>
        <w:tc>
          <w:tcPr>
            <w:tcW w:w="2728" w:type="dxa"/>
            <w:shd w:val="clear" w:color="auto" w:fill="EDEDED" w:themeFill="accent3" w:themeFillTint="33"/>
          </w:tcPr>
          <w:p w14:paraId="26FA74E2" w14:textId="5412205F" w:rsidR="00A06525" w:rsidRPr="0054020C" w:rsidRDefault="00A06525" w:rsidP="00A06525">
            <w:r w:rsidRPr="00B14341">
              <w:rPr>
                <w:b/>
                <w:bCs/>
              </w:rPr>
              <w:t>Date of issue:</w:t>
            </w:r>
            <w:r w:rsidR="00B36C77">
              <w:t xml:space="preserve"> April 1, 2024</w:t>
            </w:r>
          </w:p>
        </w:tc>
        <w:tc>
          <w:tcPr>
            <w:tcW w:w="3117" w:type="dxa"/>
            <w:shd w:val="clear" w:color="auto" w:fill="EDEDED" w:themeFill="accent3" w:themeFillTint="33"/>
          </w:tcPr>
          <w:p w14:paraId="7162C190" w14:textId="77777777" w:rsidR="00A06525" w:rsidRPr="00B14341" w:rsidRDefault="00A06525" w:rsidP="00A06525">
            <w:pPr>
              <w:rPr>
                <w:b/>
                <w:bCs/>
              </w:rPr>
            </w:pPr>
            <w:r w:rsidRPr="00B14341">
              <w:rPr>
                <w:b/>
                <w:bCs/>
              </w:rPr>
              <w:t>Approved by:</w:t>
            </w:r>
          </w:p>
        </w:tc>
      </w:tr>
      <w:tr w:rsidR="00994C16" w:rsidRPr="0054020C" w14:paraId="06779A5A" w14:textId="77777777" w:rsidTr="00994C16">
        <w:trPr>
          <w:trHeight w:val="620"/>
        </w:trPr>
        <w:tc>
          <w:tcPr>
            <w:tcW w:w="3505" w:type="dxa"/>
            <w:shd w:val="clear" w:color="auto" w:fill="EDEDED" w:themeFill="accent3" w:themeFillTint="33"/>
          </w:tcPr>
          <w:p w14:paraId="05D190BD" w14:textId="5B5555BD" w:rsidR="00A06525" w:rsidRPr="0054020C" w:rsidRDefault="00F738F1" w:rsidP="00A06525">
            <w:r w:rsidRPr="00B14341">
              <w:rPr>
                <w:b/>
                <w:bCs/>
              </w:rPr>
              <w:t>Title</w:t>
            </w:r>
            <w:r w:rsidR="00A06525" w:rsidRPr="00B14341">
              <w:rPr>
                <w:b/>
                <w:bCs/>
              </w:rPr>
              <w:t>:</w:t>
            </w:r>
            <w:r w:rsidR="00A06525" w:rsidRPr="0054020C">
              <w:t xml:space="preserve"> </w:t>
            </w:r>
            <w:r w:rsidR="000928C3">
              <w:t xml:space="preserve">Summary of </w:t>
            </w:r>
            <w:r w:rsidR="00B36C77">
              <w:t>Procurement Policy</w:t>
            </w:r>
          </w:p>
        </w:tc>
        <w:tc>
          <w:tcPr>
            <w:tcW w:w="2728" w:type="dxa"/>
            <w:shd w:val="clear" w:color="auto" w:fill="EDEDED" w:themeFill="accent3" w:themeFillTint="33"/>
          </w:tcPr>
          <w:p w14:paraId="53AA47C0" w14:textId="666F6177" w:rsidR="00A06525" w:rsidRPr="00B14341" w:rsidRDefault="00A06525" w:rsidP="00A06525">
            <w:pPr>
              <w:rPr>
                <w:b/>
                <w:bCs/>
              </w:rPr>
            </w:pPr>
            <w:r w:rsidRPr="00B14341">
              <w:rPr>
                <w:b/>
                <w:bCs/>
              </w:rPr>
              <w:t>Last date of review:</w:t>
            </w:r>
            <w:r w:rsidR="0076123B" w:rsidRPr="00B14341">
              <w:rPr>
                <w:b/>
                <w:bCs/>
              </w:rPr>
              <w:t xml:space="preserve"> </w:t>
            </w:r>
          </w:p>
        </w:tc>
        <w:tc>
          <w:tcPr>
            <w:tcW w:w="3117" w:type="dxa"/>
            <w:shd w:val="clear" w:color="auto" w:fill="EDEDED" w:themeFill="accent3" w:themeFillTint="33"/>
          </w:tcPr>
          <w:p w14:paraId="468F6738" w14:textId="77777777" w:rsidR="00A06525" w:rsidRPr="0054020C" w:rsidRDefault="00A06525" w:rsidP="00A06525"/>
        </w:tc>
      </w:tr>
    </w:tbl>
    <w:p w14:paraId="4F280631" w14:textId="65FED899" w:rsidR="00DE730E" w:rsidRPr="00C07926" w:rsidRDefault="00DE730E" w:rsidP="00A06525">
      <w:pPr>
        <w:jc w:val="center"/>
        <w:rPr>
          <w:b/>
          <w:bCs/>
          <w:sz w:val="32"/>
          <w:szCs w:val="32"/>
        </w:rPr>
      </w:pPr>
    </w:p>
    <w:p w14:paraId="7F18AD4C" w14:textId="77777777" w:rsidR="008A7E7E" w:rsidRDefault="008A7E7E" w:rsidP="008A7E7E">
      <w:pPr>
        <w:pStyle w:val="Default"/>
        <w:rPr>
          <w:rFonts w:asciiTheme="minorHAnsi" w:hAnsiTheme="minorHAnsi" w:cstheme="minorBidi"/>
          <w:color w:val="auto"/>
          <w:sz w:val="23"/>
          <w:szCs w:val="23"/>
          <w:lang w:val="en-US"/>
        </w:rPr>
      </w:pPr>
    </w:p>
    <w:p w14:paraId="67A62A72" w14:textId="77777777" w:rsidR="00626F7C" w:rsidRDefault="00626F7C" w:rsidP="008A7E7E">
      <w:pPr>
        <w:pStyle w:val="Default"/>
        <w:rPr>
          <w:rFonts w:asciiTheme="minorHAnsi" w:hAnsiTheme="minorHAnsi" w:cstheme="minorBidi"/>
          <w:color w:val="auto"/>
          <w:sz w:val="23"/>
          <w:szCs w:val="23"/>
          <w:lang w:val="en-US"/>
        </w:rPr>
      </w:pPr>
    </w:p>
    <w:tbl>
      <w:tblPr>
        <w:tblStyle w:val="TableGrid"/>
        <w:tblW w:w="0" w:type="auto"/>
        <w:tblLook w:val="04A0" w:firstRow="1" w:lastRow="0" w:firstColumn="1" w:lastColumn="0" w:noHBand="0" w:noVBand="1"/>
      </w:tblPr>
      <w:tblGrid>
        <w:gridCol w:w="9350"/>
      </w:tblGrid>
      <w:tr w:rsidR="000C34C4" w:rsidRPr="003E1AC2" w14:paraId="46E59136" w14:textId="77777777" w:rsidTr="00C04ED8">
        <w:tc>
          <w:tcPr>
            <w:tcW w:w="9350" w:type="dxa"/>
            <w:shd w:val="clear" w:color="auto" w:fill="EDEDED" w:themeFill="accent3" w:themeFillTint="33"/>
          </w:tcPr>
          <w:p w14:paraId="4D0EABE7" w14:textId="27F1182A" w:rsidR="000C34C4" w:rsidRPr="003E1AC2" w:rsidRDefault="000C34C4" w:rsidP="00C04ED8">
            <w:pPr>
              <w:rPr>
                <w:b/>
                <w:bCs/>
              </w:rPr>
            </w:pPr>
            <w:r>
              <w:rPr>
                <w:b/>
                <w:bCs/>
              </w:rPr>
              <w:t>Policy</w:t>
            </w:r>
          </w:p>
        </w:tc>
      </w:tr>
    </w:tbl>
    <w:p w14:paraId="72C2E294" w14:textId="77777777" w:rsidR="000C34C4" w:rsidRDefault="000C34C4" w:rsidP="008A7E7E">
      <w:pPr>
        <w:pStyle w:val="Default"/>
        <w:rPr>
          <w:rFonts w:asciiTheme="minorHAnsi" w:hAnsiTheme="minorHAnsi" w:cstheme="minorBidi"/>
          <w:color w:val="auto"/>
          <w:sz w:val="23"/>
          <w:szCs w:val="23"/>
          <w:lang w:val="en-US"/>
        </w:rPr>
      </w:pPr>
    </w:p>
    <w:p w14:paraId="1895138C" w14:textId="44CFCB9B" w:rsidR="003C6FD3" w:rsidRDefault="008A7E7E" w:rsidP="008A7E7E">
      <w:pPr>
        <w:pStyle w:val="Default"/>
        <w:rPr>
          <w:rFonts w:asciiTheme="minorHAnsi" w:hAnsiTheme="minorHAnsi" w:cstheme="minorBidi"/>
          <w:color w:val="auto"/>
          <w:sz w:val="23"/>
          <w:szCs w:val="23"/>
          <w:lang w:val="en-US"/>
        </w:rPr>
      </w:pPr>
      <w:r w:rsidRPr="008A7E7E">
        <w:rPr>
          <w:rFonts w:asciiTheme="minorHAnsi" w:hAnsiTheme="minorHAnsi" w:cstheme="minorBidi"/>
          <w:color w:val="auto"/>
          <w:sz w:val="23"/>
          <w:szCs w:val="23"/>
          <w:lang w:val="en-US"/>
        </w:rPr>
        <w:t>The purpose of this policy is to ensure that publicly funded goods and services, including construction, consulting services, and information technology are acquired by</w:t>
      </w:r>
      <w:r>
        <w:rPr>
          <w:rFonts w:asciiTheme="minorHAnsi" w:hAnsiTheme="minorHAnsi" w:cstheme="minorBidi"/>
          <w:color w:val="auto"/>
          <w:sz w:val="23"/>
          <w:szCs w:val="23"/>
          <w:lang w:val="en-US"/>
        </w:rPr>
        <w:t xml:space="preserve"> </w:t>
      </w:r>
      <w:r w:rsidRPr="008A7E7E">
        <w:rPr>
          <w:rFonts w:asciiTheme="minorHAnsi" w:hAnsiTheme="minorHAnsi" w:cstheme="minorBidi"/>
          <w:color w:val="auto"/>
          <w:sz w:val="23"/>
          <w:szCs w:val="23"/>
          <w:lang w:val="en-US"/>
        </w:rPr>
        <w:t>F</w:t>
      </w:r>
      <w:r w:rsidR="004A6E70">
        <w:rPr>
          <w:rFonts w:asciiTheme="minorHAnsi" w:hAnsiTheme="minorHAnsi" w:cstheme="minorBidi"/>
          <w:color w:val="auto"/>
          <w:sz w:val="23"/>
          <w:szCs w:val="23"/>
          <w:lang w:val="en-US"/>
        </w:rPr>
        <w:t xml:space="preserve">amily &amp; Children’s </w:t>
      </w:r>
      <w:r w:rsidRPr="008A7E7E">
        <w:rPr>
          <w:rFonts w:asciiTheme="minorHAnsi" w:hAnsiTheme="minorHAnsi" w:cstheme="minorBidi"/>
          <w:color w:val="auto"/>
          <w:sz w:val="23"/>
          <w:szCs w:val="23"/>
          <w:lang w:val="en-US"/>
        </w:rPr>
        <w:t>S</w:t>
      </w:r>
      <w:r w:rsidR="004A6E70">
        <w:rPr>
          <w:rFonts w:asciiTheme="minorHAnsi" w:hAnsiTheme="minorHAnsi" w:cstheme="minorBidi"/>
          <w:color w:val="auto"/>
          <w:sz w:val="23"/>
          <w:szCs w:val="23"/>
          <w:lang w:val="en-US"/>
        </w:rPr>
        <w:t>ervices of the Waterloo Region</w:t>
      </w:r>
      <w:r w:rsidRPr="008A7E7E">
        <w:rPr>
          <w:rFonts w:asciiTheme="minorHAnsi" w:hAnsiTheme="minorHAnsi" w:cstheme="minorBidi"/>
          <w:color w:val="auto"/>
          <w:sz w:val="23"/>
          <w:szCs w:val="23"/>
          <w:lang w:val="en-US"/>
        </w:rPr>
        <w:t xml:space="preserve"> </w:t>
      </w:r>
      <w:r w:rsidR="003C6FD3">
        <w:rPr>
          <w:rFonts w:asciiTheme="minorHAnsi" w:hAnsiTheme="minorHAnsi" w:cstheme="minorBidi"/>
          <w:color w:val="auto"/>
          <w:sz w:val="23"/>
          <w:szCs w:val="23"/>
          <w:lang w:val="en-US"/>
        </w:rPr>
        <w:t xml:space="preserve">(FACS) </w:t>
      </w:r>
      <w:r w:rsidRPr="008A7E7E">
        <w:rPr>
          <w:rFonts w:asciiTheme="minorHAnsi" w:hAnsiTheme="minorHAnsi" w:cstheme="minorBidi"/>
          <w:color w:val="auto"/>
          <w:sz w:val="23"/>
          <w:szCs w:val="23"/>
          <w:lang w:val="en-US"/>
        </w:rPr>
        <w:t>through a process that is open, fair, and transparent</w:t>
      </w:r>
      <w:r w:rsidR="003C6FD3">
        <w:rPr>
          <w:rFonts w:asciiTheme="minorHAnsi" w:hAnsiTheme="minorHAnsi" w:cstheme="minorBidi"/>
          <w:color w:val="auto"/>
          <w:sz w:val="23"/>
          <w:szCs w:val="23"/>
          <w:lang w:val="en-US"/>
        </w:rPr>
        <w:t>.</w:t>
      </w:r>
      <w:r>
        <w:rPr>
          <w:rFonts w:asciiTheme="minorHAnsi" w:hAnsiTheme="minorHAnsi" w:cstheme="minorBidi"/>
          <w:color w:val="auto"/>
          <w:sz w:val="23"/>
          <w:szCs w:val="23"/>
          <w:lang w:val="en-US"/>
        </w:rPr>
        <w:t xml:space="preserve"> </w:t>
      </w:r>
    </w:p>
    <w:p w14:paraId="193539BF" w14:textId="77777777" w:rsidR="00C175D4" w:rsidRDefault="00C175D4" w:rsidP="003C6FD3">
      <w:pPr>
        <w:pStyle w:val="Default"/>
        <w:rPr>
          <w:rFonts w:asciiTheme="minorHAnsi" w:hAnsiTheme="minorHAnsi" w:cstheme="minorBidi"/>
          <w:color w:val="auto"/>
          <w:sz w:val="23"/>
          <w:szCs w:val="23"/>
          <w:lang w:val="en-US"/>
        </w:rPr>
      </w:pPr>
    </w:p>
    <w:p w14:paraId="6A91EC32" w14:textId="1789B6C4" w:rsidR="003C6FD3" w:rsidRPr="003C6FD3" w:rsidRDefault="003C6FD3" w:rsidP="003C6FD3">
      <w:pPr>
        <w:pStyle w:val="Default"/>
        <w:rPr>
          <w:rFonts w:asciiTheme="minorHAnsi" w:hAnsiTheme="minorHAnsi" w:cstheme="minorBidi"/>
          <w:color w:val="auto"/>
          <w:sz w:val="23"/>
          <w:szCs w:val="23"/>
          <w:lang w:val="en-US"/>
        </w:rPr>
      </w:pPr>
      <w:r>
        <w:rPr>
          <w:rFonts w:asciiTheme="minorHAnsi" w:hAnsiTheme="minorHAnsi" w:cstheme="minorBidi"/>
          <w:color w:val="auto"/>
          <w:sz w:val="23"/>
          <w:szCs w:val="23"/>
          <w:lang w:val="en-US"/>
        </w:rPr>
        <w:t>The Policy is</w:t>
      </w:r>
      <w:r w:rsidRPr="003C6FD3">
        <w:rPr>
          <w:rFonts w:asciiTheme="minorHAnsi" w:hAnsiTheme="minorHAnsi" w:cstheme="minorBidi"/>
          <w:color w:val="auto"/>
          <w:sz w:val="23"/>
          <w:szCs w:val="23"/>
          <w:lang w:val="en-US"/>
        </w:rPr>
        <w:t xml:space="preserve"> based on </w:t>
      </w:r>
      <w:r>
        <w:rPr>
          <w:rFonts w:asciiTheme="minorHAnsi" w:hAnsiTheme="minorHAnsi" w:cstheme="minorBidi"/>
          <w:color w:val="auto"/>
          <w:sz w:val="23"/>
          <w:szCs w:val="23"/>
          <w:lang w:val="en-US"/>
        </w:rPr>
        <w:t xml:space="preserve">the following </w:t>
      </w:r>
      <w:r w:rsidRPr="003C6FD3">
        <w:rPr>
          <w:rFonts w:asciiTheme="minorHAnsi" w:hAnsiTheme="minorHAnsi" w:cstheme="minorBidi"/>
          <w:color w:val="auto"/>
          <w:sz w:val="23"/>
          <w:szCs w:val="23"/>
          <w:lang w:val="en-US"/>
        </w:rPr>
        <w:t>five key principles:</w:t>
      </w:r>
    </w:p>
    <w:p w14:paraId="77656173" w14:textId="00F59866" w:rsidR="003C6FD3" w:rsidRPr="00776A9D" w:rsidRDefault="003C6FD3" w:rsidP="00776A9D">
      <w:pPr>
        <w:pStyle w:val="Default"/>
        <w:numPr>
          <w:ilvl w:val="0"/>
          <w:numId w:val="10"/>
        </w:numPr>
        <w:rPr>
          <w:rFonts w:asciiTheme="minorHAnsi" w:hAnsiTheme="minorHAnsi" w:cstheme="minorBidi"/>
          <w:color w:val="auto"/>
          <w:sz w:val="23"/>
          <w:szCs w:val="23"/>
          <w:lang w:val="en-US"/>
        </w:rPr>
      </w:pPr>
      <w:r w:rsidRPr="00776A9D">
        <w:rPr>
          <w:rFonts w:asciiTheme="minorHAnsi" w:hAnsiTheme="minorHAnsi" w:cstheme="minorBidi"/>
          <w:color w:val="auto"/>
          <w:sz w:val="23"/>
          <w:szCs w:val="23"/>
          <w:lang w:val="en-US"/>
        </w:rPr>
        <w:t>Accountability</w:t>
      </w:r>
      <w:r w:rsidR="00776A9D" w:rsidRPr="00776A9D">
        <w:rPr>
          <w:rFonts w:asciiTheme="minorHAnsi" w:hAnsiTheme="minorHAnsi" w:cstheme="minorBidi"/>
          <w:color w:val="auto"/>
          <w:sz w:val="23"/>
          <w:szCs w:val="23"/>
          <w:lang w:val="en-US"/>
        </w:rPr>
        <w:t xml:space="preserve">: </w:t>
      </w:r>
      <w:r w:rsidRPr="00776A9D">
        <w:rPr>
          <w:rFonts w:asciiTheme="minorHAnsi" w:hAnsiTheme="minorHAnsi" w:cstheme="minorBidi"/>
          <w:color w:val="auto"/>
          <w:sz w:val="23"/>
          <w:szCs w:val="23"/>
          <w:lang w:val="en-US"/>
        </w:rPr>
        <w:t>FACS must be accountable for the results of their procurement decisions and the appropriateness of the processes</w:t>
      </w:r>
      <w:r w:rsidR="00405152" w:rsidRPr="00776A9D">
        <w:rPr>
          <w:rFonts w:asciiTheme="minorHAnsi" w:hAnsiTheme="minorHAnsi" w:cstheme="minorBidi"/>
          <w:color w:val="auto"/>
          <w:sz w:val="23"/>
          <w:szCs w:val="23"/>
          <w:lang w:val="en-US"/>
        </w:rPr>
        <w:t>.</w:t>
      </w:r>
    </w:p>
    <w:p w14:paraId="6449336B" w14:textId="689FCB7F" w:rsidR="003C6FD3" w:rsidRPr="003C6FD3" w:rsidRDefault="003C6FD3" w:rsidP="00776A9D">
      <w:pPr>
        <w:pStyle w:val="Default"/>
        <w:numPr>
          <w:ilvl w:val="0"/>
          <w:numId w:val="10"/>
        </w:numPr>
        <w:rPr>
          <w:rFonts w:asciiTheme="minorHAnsi" w:hAnsiTheme="minorHAnsi" w:cstheme="minorBidi"/>
          <w:color w:val="auto"/>
          <w:sz w:val="23"/>
          <w:szCs w:val="23"/>
          <w:lang w:val="en-US"/>
        </w:rPr>
      </w:pPr>
      <w:r w:rsidRPr="003C6FD3">
        <w:rPr>
          <w:rFonts w:asciiTheme="minorHAnsi" w:hAnsiTheme="minorHAnsi" w:cstheme="minorBidi"/>
          <w:color w:val="auto"/>
          <w:sz w:val="23"/>
          <w:szCs w:val="23"/>
          <w:lang w:val="en-US"/>
        </w:rPr>
        <w:t>Transparency</w:t>
      </w:r>
      <w:r w:rsidR="00776A9D">
        <w:rPr>
          <w:rFonts w:asciiTheme="minorHAnsi" w:hAnsiTheme="minorHAnsi" w:cstheme="minorBidi"/>
          <w:color w:val="auto"/>
          <w:sz w:val="23"/>
          <w:szCs w:val="23"/>
          <w:lang w:val="en-US"/>
        </w:rPr>
        <w:t xml:space="preserve">: </w:t>
      </w:r>
      <w:r>
        <w:rPr>
          <w:rFonts w:asciiTheme="minorHAnsi" w:hAnsiTheme="minorHAnsi" w:cstheme="minorBidi"/>
          <w:color w:val="auto"/>
          <w:sz w:val="23"/>
          <w:szCs w:val="23"/>
          <w:lang w:val="en-US"/>
        </w:rPr>
        <w:t>FACS</w:t>
      </w:r>
      <w:r w:rsidRPr="003C6FD3">
        <w:rPr>
          <w:rFonts w:asciiTheme="minorHAnsi" w:hAnsiTheme="minorHAnsi" w:cstheme="minorBidi"/>
          <w:color w:val="auto"/>
          <w:sz w:val="23"/>
          <w:szCs w:val="23"/>
          <w:lang w:val="en-US"/>
        </w:rPr>
        <w:t xml:space="preserve"> must be transparent to all vendors. Wherever possible, vendors must have equal access to information on procurement opportunities, processes, and results.</w:t>
      </w:r>
    </w:p>
    <w:p w14:paraId="7846F9E2" w14:textId="6539BE70" w:rsidR="003C6FD3" w:rsidRPr="003C6FD3" w:rsidRDefault="003C6FD3" w:rsidP="00776A9D">
      <w:pPr>
        <w:pStyle w:val="Default"/>
        <w:numPr>
          <w:ilvl w:val="0"/>
          <w:numId w:val="10"/>
        </w:numPr>
        <w:rPr>
          <w:rFonts w:asciiTheme="minorHAnsi" w:hAnsiTheme="minorHAnsi" w:cstheme="minorBidi"/>
          <w:color w:val="auto"/>
          <w:sz w:val="23"/>
          <w:szCs w:val="23"/>
          <w:lang w:val="en-US"/>
        </w:rPr>
      </w:pPr>
      <w:r w:rsidRPr="003C6FD3">
        <w:rPr>
          <w:rFonts w:asciiTheme="minorHAnsi" w:hAnsiTheme="minorHAnsi" w:cstheme="minorBidi"/>
          <w:color w:val="auto"/>
          <w:sz w:val="23"/>
          <w:szCs w:val="23"/>
          <w:lang w:val="en-US"/>
        </w:rPr>
        <w:t>Value for Money</w:t>
      </w:r>
      <w:r w:rsidR="00776A9D">
        <w:rPr>
          <w:rFonts w:asciiTheme="minorHAnsi" w:hAnsiTheme="minorHAnsi" w:cstheme="minorBidi"/>
          <w:color w:val="auto"/>
          <w:sz w:val="23"/>
          <w:szCs w:val="23"/>
          <w:lang w:val="en-US"/>
        </w:rPr>
        <w:t xml:space="preserve">: </w:t>
      </w:r>
      <w:r>
        <w:rPr>
          <w:rFonts w:asciiTheme="minorHAnsi" w:hAnsiTheme="minorHAnsi" w:cstheme="minorBidi"/>
          <w:color w:val="auto"/>
          <w:sz w:val="23"/>
          <w:szCs w:val="23"/>
          <w:lang w:val="en-US"/>
        </w:rPr>
        <w:t>FACS</w:t>
      </w:r>
      <w:r w:rsidRPr="003C6FD3">
        <w:rPr>
          <w:rFonts w:asciiTheme="minorHAnsi" w:hAnsiTheme="minorHAnsi" w:cstheme="minorBidi"/>
          <w:color w:val="auto"/>
          <w:sz w:val="23"/>
          <w:szCs w:val="23"/>
          <w:lang w:val="en-US"/>
        </w:rPr>
        <w:t xml:space="preserve"> must maximize the value they receive from the use of public funds. A value-for-money approach aims to deliver goods and services at the optimum total lifecycle cost.</w:t>
      </w:r>
    </w:p>
    <w:p w14:paraId="08ADD69C" w14:textId="718A0528" w:rsidR="003C6FD3" w:rsidRPr="003C6FD3" w:rsidRDefault="003C6FD3" w:rsidP="00776A9D">
      <w:pPr>
        <w:pStyle w:val="Default"/>
        <w:numPr>
          <w:ilvl w:val="0"/>
          <w:numId w:val="10"/>
        </w:numPr>
        <w:rPr>
          <w:rFonts w:asciiTheme="minorHAnsi" w:hAnsiTheme="minorHAnsi" w:cstheme="minorBidi"/>
          <w:color w:val="auto"/>
          <w:sz w:val="23"/>
          <w:szCs w:val="23"/>
          <w:lang w:val="en-US"/>
        </w:rPr>
      </w:pPr>
      <w:r w:rsidRPr="003C6FD3">
        <w:rPr>
          <w:rFonts w:asciiTheme="minorHAnsi" w:hAnsiTheme="minorHAnsi" w:cstheme="minorBidi"/>
          <w:color w:val="auto"/>
          <w:sz w:val="23"/>
          <w:szCs w:val="23"/>
          <w:lang w:val="en-US"/>
        </w:rPr>
        <w:t>Quality Service Delivery</w:t>
      </w:r>
      <w:r w:rsidR="00776A9D">
        <w:rPr>
          <w:rFonts w:asciiTheme="minorHAnsi" w:hAnsiTheme="minorHAnsi" w:cstheme="minorBidi"/>
          <w:color w:val="auto"/>
          <w:sz w:val="23"/>
          <w:szCs w:val="23"/>
          <w:lang w:val="en-US"/>
        </w:rPr>
        <w:t xml:space="preserve">: </w:t>
      </w:r>
      <w:r w:rsidRPr="003C6FD3">
        <w:rPr>
          <w:rFonts w:asciiTheme="minorHAnsi" w:hAnsiTheme="minorHAnsi" w:cstheme="minorBidi"/>
          <w:color w:val="auto"/>
          <w:sz w:val="23"/>
          <w:szCs w:val="23"/>
          <w:lang w:val="en-US"/>
        </w:rPr>
        <w:t xml:space="preserve">Front-line services provided by </w:t>
      </w:r>
      <w:r>
        <w:rPr>
          <w:rFonts w:asciiTheme="minorHAnsi" w:hAnsiTheme="minorHAnsi" w:cstheme="minorBidi"/>
          <w:color w:val="auto"/>
          <w:sz w:val="23"/>
          <w:szCs w:val="23"/>
          <w:lang w:val="en-US"/>
        </w:rPr>
        <w:t>FACS</w:t>
      </w:r>
      <w:r w:rsidRPr="003C6FD3">
        <w:rPr>
          <w:rFonts w:asciiTheme="minorHAnsi" w:hAnsiTheme="minorHAnsi" w:cstheme="minorBidi"/>
          <w:color w:val="auto"/>
          <w:sz w:val="23"/>
          <w:szCs w:val="23"/>
          <w:lang w:val="en-US"/>
        </w:rPr>
        <w:t>, such as teaching and patient care, must receive the right product, at the right time, in the right place.</w:t>
      </w:r>
    </w:p>
    <w:p w14:paraId="61B606E8" w14:textId="622E39FC" w:rsidR="003C6FD3" w:rsidRDefault="003C6FD3" w:rsidP="00776A9D">
      <w:pPr>
        <w:pStyle w:val="Default"/>
        <w:numPr>
          <w:ilvl w:val="0"/>
          <w:numId w:val="10"/>
        </w:numPr>
        <w:rPr>
          <w:rFonts w:asciiTheme="minorHAnsi" w:hAnsiTheme="minorHAnsi" w:cstheme="minorBidi"/>
          <w:color w:val="auto"/>
          <w:sz w:val="23"/>
          <w:szCs w:val="23"/>
          <w:lang w:val="en-US"/>
        </w:rPr>
      </w:pPr>
      <w:r w:rsidRPr="003C6FD3">
        <w:rPr>
          <w:rFonts w:asciiTheme="minorHAnsi" w:hAnsiTheme="minorHAnsi" w:cstheme="minorBidi"/>
          <w:color w:val="auto"/>
          <w:sz w:val="23"/>
          <w:szCs w:val="23"/>
          <w:lang w:val="en-US"/>
        </w:rPr>
        <w:t>Process Standardization</w:t>
      </w:r>
      <w:r w:rsidR="00776A9D">
        <w:rPr>
          <w:rFonts w:asciiTheme="minorHAnsi" w:hAnsiTheme="minorHAnsi" w:cstheme="minorBidi"/>
          <w:color w:val="auto"/>
          <w:sz w:val="23"/>
          <w:szCs w:val="23"/>
          <w:lang w:val="en-US"/>
        </w:rPr>
        <w:t xml:space="preserve">: </w:t>
      </w:r>
      <w:r w:rsidRPr="003C6FD3">
        <w:rPr>
          <w:rFonts w:asciiTheme="minorHAnsi" w:hAnsiTheme="minorHAnsi" w:cstheme="minorBidi"/>
          <w:color w:val="auto"/>
          <w:sz w:val="23"/>
          <w:szCs w:val="23"/>
          <w:lang w:val="en-US"/>
        </w:rPr>
        <w:t>Standardized processes remove inefficiencies and create a level playing field.</w:t>
      </w:r>
    </w:p>
    <w:p w14:paraId="5ED82DCF" w14:textId="77777777" w:rsidR="008B612C" w:rsidRDefault="008B612C" w:rsidP="008B612C">
      <w:pPr>
        <w:pStyle w:val="Default"/>
        <w:rPr>
          <w:rFonts w:asciiTheme="minorHAnsi" w:hAnsiTheme="minorHAnsi" w:cstheme="minorBidi"/>
          <w:i/>
          <w:iCs/>
          <w:color w:val="FF0000"/>
          <w:sz w:val="23"/>
          <w:szCs w:val="23"/>
          <w:lang w:val="en-US"/>
        </w:rPr>
      </w:pPr>
    </w:p>
    <w:p w14:paraId="603AB60F" w14:textId="77777777" w:rsidR="00776A9D" w:rsidRDefault="00776A9D" w:rsidP="008B612C">
      <w:pPr>
        <w:pStyle w:val="Default"/>
        <w:rPr>
          <w:rFonts w:asciiTheme="minorHAnsi" w:hAnsiTheme="minorHAnsi" w:cstheme="minorBidi"/>
          <w:color w:val="FF0000"/>
          <w:sz w:val="23"/>
          <w:szCs w:val="23"/>
          <w:lang w:val="en-US"/>
        </w:rPr>
        <w:sectPr w:rsidR="00776A9D">
          <w:headerReference w:type="default" r:id="rId10"/>
          <w:pgSz w:w="12240" w:h="15840"/>
          <w:pgMar w:top="1440" w:right="1440" w:bottom="1440" w:left="1440" w:header="720" w:footer="720" w:gutter="0"/>
          <w:cols w:space="720"/>
          <w:docGrid w:linePitch="360"/>
        </w:sectPr>
      </w:pPr>
    </w:p>
    <w:p w14:paraId="4DE03A25" w14:textId="77777777" w:rsidR="00626F7C" w:rsidRPr="00D93B96" w:rsidRDefault="00626F7C" w:rsidP="008B612C">
      <w:pPr>
        <w:pStyle w:val="Default"/>
        <w:rPr>
          <w:rFonts w:asciiTheme="minorHAnsi" w:hAnsiTheme="minorHAnsi" w:cstheme="minorBidi"/>
          <w:color w:val="FF0000"/>
          <w:sz w:val="23"/>
          <w:szCs w:val="23"/>
          <w:lang w:val="en-US"/>
        </w:rPr>
      </w:pPr>
    </w:p>
    <w:tbl>
      <w:tblPr>
        <w:tblStyle w:val="TableGrid"/>
        <w:tblW w:w="0" w:type="auto"/>
        <w:tblLook w:val="04A0" w:firstRow="1" w:lastRow="0" w:firstColumn="1" w:lastColumn="0" w:noHBand="0" w:noVBand="1"/>
      </w:tblPr>
      <w:tblGrid>
        <w:gridCol w:w="9350"/>
      </w:tblGrid>
      <w:tr w:rsidR="008B612C" w:rsidRPr="003E1AC2" w14:paraId="25F1F0EC" w14:textId="77777777" w:rsidTr="00D96201">
        <w:tc>
          <w:tcPr>
            <w:tcW w:w="9350" w:type="dxa"/>
            <w:shd w:val="clear" w:color="auto" w:fill="EDEDED" w:themeFill="accent3" w:themeFillTint="33"/>
          </w:tcPr>
          <w:p w14:paraId="266258B5" w14:textId="77777777" w:rsidR="008B612C" w:rsidRPr="003E1AC2" w:rsidRDefault="008B612C" w:rsidP="00D96201">
            <w:pPr>
              <w:rPr>
                <w:b/>
                <w:bCs/>
              </w:rPr>
            </w:pPr>
            <w:r>
              <w:rPr>
                <w:b/>
                <w:bCs/>
              </w:rPr>
              <w:t>Code of Ethics</w:t>
            </w:r>
          </w:p>
        </w:tc>
      </w:tr>
    </w:tbl>
    <w:p w14:paraId="1F876F25" w14:textId="77777777" w:rsidR="00626F7C" w:rsidRDefault="00626F7C" w:rsidP="003C6FD3">
      <w:pPr>
        <w:pStyle w:val="Default"/>
        <w:rPr>
          <w:rFonts w:asciiTheme="minorHAnsi" w:hAnsiTheme="minorHAnsi" w:cstheme="minorBidi"/>
          <w:color w:val="auto"/>
          <w:sz w:val="23"/>
          <w:szCs w:val="23"/>
          <w:lang w:val="en-US"/>
        </w:rPr>
      </w:pPr>
    </w:p>
    <w:p w14:paraId="7A56611A" w14:textId="2E236932" w:rsidR="008B612C" w:rsidRDefault="008B612C" w:rsidP="003C6FD3">
      <w:pPr>
        <w:pStyle w:val="Default"/>
        <w:rPr>
          <w:rFonts w:asciiTheme="minorHAnsi" w:hAnsiTheme="minorHAnsi" w:cstheme="minorBidi"/>
          <w:color w:val="auto"/>
          <w:sz w:val="23"/>
          <w:szCs w:val="23"/>
          <w:lang w:val="en-US"/>
        </w:rPr>
      </w:pPr>
      <w:r w:rsidRPr="007073F9">
        <w:rPr>
          <w:rFonts w:asciiTheme="minorHAnsi" w:hAnsiTheme="minorHAnsi" w:cstheme="minorBidi"/>
          <w:color w:val="auto"/>
          <w:sz w:val="23"/>
          <w:szCs w:val="23"/>
          <w:lang w:val="en-US"/>
        </w:rPr>
        <w:t>The Ontario Broader Public Sector Supply Chain Code of Ethics must be formally adopted in accordance with governance processes.  FACS will ensure that the Code is available and visible to all members of the organization and to suppliers and stakeholders involved with the Supply Chain process. </w:t>
      </w:r>
    </w:p>
    <w:p w14:paraId="2B267188" w14:textId="77777777" w:rsidR="00626F7C" w:rsidRDefault="00626F7C" w:rsidP="00C175D4">
      <w:pPr>
        <w:pStyle w:val="Default"/>
        <w:rPr>
          <w:rFonts w:asciiTheme="minorHAnsi" w:hAnsiTheme="minorHAnsi" w:cstheme="minorBidi"/>
          <w:color w:val="auto"/>
          <w:sz w:val="23"/>
          <w:szCs w:val="23"/>
          <w:lang w:val="en-US"/>
        </w:rPr>
      </w:pPr>
    </w:p>
    <w:p w14:paraId="750B4508" w14:textId="77777777" w:rsidR="003D240B" w:rsidRDefault="003D240B" w:rsidP="003D240B">
      <w:pPr>
        <w:pStyle w:val="Default"/>
        <w:jc w:val="center"/>
        <w:rPr>
          <w:rFonts w:asciiTheme="minorHAnsi" w:hAnsiTheme="minorHAnsi" w:cstheme="minorBidi"/>
          <w:color w:val="auto"/>
          <w:sz w:val="23"/>
          <w:szCs w:val="23"/>
          <w:lang w:val="en-US"/>
        </w:rPr>
      </w:pPr>
      <w:r w:rsidRPr="000C34C4">
        <w:rPr>
          <w:rFonts w:ascii="Segoe UI" w:eastAsia="Times New Roman" w:hAnsi="Segoe UI" w:cs="Segoe UI"/>
          <w:noProof/>
          <w:sz w:val="18"/>
          <w:szCs w:val="18"/>
          <w:lang w:eastAsia="en-CA"/>
        </w:rPr>
        <w:drawing>
          <wp:inline distT="0" distB="0" distL="0" distR="0" wp14:anchorId="1A6175CA" wp14:editId="27F09955">
            <wp:extent cx="4426177" cy="3873699"/>
            <wp:effectExtent l="0" t="0" r="0" b="0"/>
            <wp:docPr id="362844456"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44456" name="Picture 1" descr="A white text on a blue background&#10;&#10;Description automatically generated"/>
                    <pic:cNvPicPr/>
                  </pic:nvPicPr>
                  <pic:blipFill>
                    <a:blip r:embed="rId11"/>
                    <a:stretch>
                      <a:fillRect/>
                    </a:stretch>
                  </pic:blipFill>
                  <pic:spPr>
                    <a:xfrm>
                      <a:off x="0" y="0"/>
                      <a:ext cx="4426177" cy="3873699"/>
                    </a:xfrm>
                    <a:prstGeom prst="rect">
                      <a:avLst/>
                    </a:prstGeom>
                  </pic:spPr>
                </pic:pic>
              </a:graphicData>
            </a:graphic>
          </wp:inline>
        </w:drawing>
      </w:r>
    </w:p>
    <w:p w14:paraId="76D62309" w14:textId="77777777" w:rsidR="000C35A9" w:rsidRDefault="000C35A9" w:rsidP="003D240B">
      <w:pPr>
        <w:pStyle w:val="Default"/>
        <w:jc w:val="center"/>
        <w:rPr>
          <w:rFonts w:asciiTheme="minorHAnsi" w:hAnsiTheme="minorHAnsi" w:cstheme="minorBidi"/>
          <w:color w:val="auto"/>
          <w:sz w:val="23"/>
          <w:szCs w:val="23"/>
          <w:lang w:val="en-US"/>
        </w:rPr>
      </w:pPr>
    </w:p>
    <w:p w14:paraId="12A38DCB" w14:textId="77777777" w:rsidR="000C35A9" w:rsidRDefault="000C35A9" w:rsidP="000C35A9">
      <w:pPr>
        <w:pStyle w:val="Default"/>
        <w:rPr>
          <w:rFonts w:asciiTheme="minorHAnsi" w:hAnsiTheme="minorHAnsi" w:cstheme="minorBidi"/>
          <w:color w:val="auto"/>
          <w:sz w:val="23"/>
          <w:szCs w:val="23"/>
          <w:lang w:val="en-US"/>
        </w:rPr>
      </w:pPr>
    </w:p>
    <w:p w14:paraId="6A934153" w14:textId="3564256C" w:rsidR="000C35A9" w:rsidRDefault="000C35A9" w:rsidP="000C35A9">
      <w:pPr>
        <w:pStyle w:val="Default"/>
        <w:rPr>
          <w:rFonts w:asciiTheme="minorHAnsi" w:hAnsiTheme="minorHAnsi" w:cstheme="minorBidi"/>
          <w:color w:val="auto"/>
          <w:sz w:val="23"/>
          <w:szCs w:val="23"/>
          <w:lang w:val="en-US"/>
        </w:rPr>
        <w:sectPr w:rsidR="000C35A9">
          <w:pgSz w:w="12240" w:h="15840"/>
          <w:pgMar w:top="1440" w:right="1440" w:bottom="1440" w:left="1440" w:header="720" w:footer="720" w:gutter="0"/>
          <w:cols w:space="720"/>
          <w:docGrid w:linePitch="360"/>
        </w:sectPr>
      </w:pPr>
      <w:r>
        <w:rPr>
          <w:rFonts w:asciiTheme="minorHAnsi" w:hAnsiTheme="minorHAnsi" w:cstheme="minorBidi"/>
          <w:color w:val="auto"/>
          <w:sz w:val="23"/>
          <w:szCs w:val="23"/>
          <w:lang w:val="en-US"/>
        </w:rPr>
        <w:t>See next page for the Competitive Procurement Thresholds and Approval Authority.</w:t>
      </w:r>
    </w:p>
    <w:p w14:paraId="77F59E39" w14:textId="77777777" w:rsidR="00C175D4" w:rsidRDefault="00C175D4" w:rsidP="00160AD0">
      <w:pPr>
        <w:pStyle w:val="Default"/>
        <w:ind w:right="131"/>
        <w:rPr>
          <w:rFonts w:asciiTheme="minorHAnsi" w:hAnsiTheme="minorHAnsi" w:cstheme="minorBidi"/>
          <w:color w:val="auto"/>
          <w:sz w:val="23"/>
          <w:szCs w:val="23"/>
          <w:lang w:val="en-US"/>
        </w:rPr>
      </w:pPr>
    </w:p>
    <w:tbl>
      <w:tblPr>
        <w:tblStyle w:val="TableGrid"/>
        <w:tblW w:w="0" w:type="auto"/>
        <w:tblLook w:val="04A0" w:firstRow="1" w:lastRow="0" w:firstColumn="1" w:lastColumn="0" w:noHBand="0" w:noVBand="1"/>
      </w:tblPr>
      <w:tblGrid>
        <w:gridCol w:w="8921"/>
      </w:tblGrid>
      <w:tr w:rsidR="00C175D4" w:rsidRPr="003E1AC2" w14:paraId="08DED059" w14:textId="77777777" w:rsidTr="00D96201">
        <w:tc>
          <w:tcPr>
            <w:tcW w:w="9350" w:type="dxa"/>
            <w:shd w:val="clear" w:color="auto" w:fill="EDEDED" w:themeFill="accent3" w:themeFillTint="33"/>
          </w:tcPr>
          <w:p w14:paraId="24C3DC15" w14:textId="1A9F483E" w:rsidR="00C175D4" w:rsidRPr="00C175D4" w:rsidRDefault="00C175D4" w:rsidP="00C175D4">
            <w:pPr>
              <w:spacing w:beforeAutospacing="1" w:afterAutospacing="1"/>
              <w:textAlignment w:val="baseline"/>
              <w:rPr>
                <w:b/>
                <w:bCs/>
                <w:color w:val="000000"/>
                <w:sz w:val="23"/>
                <w:szCs w:val="23"/>
                <w14:textFill>
                  <w14:solidFill>
                    <w14:srgbClr w14:val="000000">
                      <w14:lumMod w14:val="60000"/>
                      <w14:lumOff w14:val="40000"/>
                    </w14:srgbClr>
                  </w14:solidFill>
                </w14:textFill>
              </w:rPr>
            </w:pPr>
            <w:r w:rsidRPr="00953CED">
              <w:rPr>
                <w:b/>
                <w:bCs/>
                <w:sz w:val="23"/>
                <w:szCs w:val="23"/>
              </w:rPr>
              <w:t>Competitive Procurement Thresholds</w:t>
            </w:r>
          </w:p>
        </w:tc>
      </w:tr>
    </w:tbl>
    <w:p w14:paraId="12E065E3" w14:textId="77777777" w:rsidR="004A2D2A" w:rsidRDefault="004A2D2A" w:rsidP="00160AD0">
      <w:pPr>
        <w:spacing w:before="100" w:beforeAutospacing="1" w:after="100" w:afterAutospacing="1" w:line="240" w:lineRule="auto"/>
        <w:jc w:val="center"/>
        <w:textAlignment w:val="baseline"/>
        <w:rPr>
          <w:b/>
          <w:bCs/>
          <w:sz w:val="23"/>
          <w:szCs w:val="23"/>
        </w:rPr>
      </w:pPr>
      <w:r>
        <w:rPr>
          <w:b/>
          <w:bCs/>
          <w:sz w:val="23"/>
          <w:szCs w:val="23"/>
        </w:rPr>
        <w:t>Goods, Non-Consulting Services and Construction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3218"/>
        <w:gridCol w:w="3218"/>
      </w:tblGrid>
      <w:tr w:rsidR="004A2D2A" w14:paraId="34522A3A" w14:textId="77777777" w:rsidTr="00D96201">
        <w:trPr>
          <w:trHeight w:val="171"/>
        </w:trPr>
        <w:tc>
          <w:tcPr>
            <w:tcW w:w="3218" w:type="dxa"/>
          </w:tcPr>
          <w:p w14:paraId="45B166B1" w14:textId="77777777" w:rsidR="004A2D2A" w:rsidRPr="00C175D4" w:rsidRDefault="004A2D2A" w:rsidP="00D96201">
            <w:pPr>
              <w:pStyle w:val="Default"/>
              <w:rPr>
                <w:rFonts w:asciiTheme="minorHAnsi" w:hAnsiTheme="minorHAnsi" w:cstheme="minorHAnsi"/>
                <w:sz w:val="23"/>
                <w:szCs w:val="23"/>
              </w:rPr>
            </w:pPr>
            <w:r w:rsidRPr="00C175D4">
              <w:rPr>
                <w:rFonts w:asciiTheme="minorHAnsi" w:hAnsiTheme="minorHAnsi" w:cstheme="minorHAnsi"/>
                <w:b/>
                <w:bCs/>
                <w:sz w:val="23"/>
                <w:szCs w:val="23"/>
              </w:rPr>
              <w:t xml:space="preserve">Total Procurement Value </w:t>
            </w:r>
          </w:p>
        </w:tc>
        <w:tc>
          <w:tcPr>
            <w:tcW w:w="3218" w:type="dxa"/>
          </w:tcPr>
          <w:p w14:paraId="41BD7B1A" w14:textId="77777777" w:rsidR="004A2D2A" w:rsidRPr="00C175D4" w:rsidRDefault="004A2D2A" w:rsidP="00D96201">
            <w:pPr>
              <w:pStyle w:val="Default"/>
              <w:rPr>
                <w:rFonts w:asciiTheme="minorHAnsi" w:hAnsiTheme="minorHAnsi" w:cstheme="minorHAnsi"/>
                <w:sz w:val="23"/>
                <w:szCs w:val="23"/>
              </w:rPr>
            </w:pPr>
            <w:r w:rsidRPr="00C175D4">
              <w:rPr>
                <w:rFonts w:asciiTheme="minorHAnsi" w:hAnsiTheme="minorHAnsi" w:cstheme="minorHAnsi"/>
                <w:b/>
                <w:bCs/>
                <w:sz w:val="23"/>
                <w:szCs w:val="23"/>
              </w:rPr>
              <w:t xml:space="preserve">Means of Procurement </w:t>
            </w:r>
          </w:p>
        </w:tc>
        <w:tc>
          <w:tcPr>
            <w:tcW w:w="3218" w:type="dxa"/>
          </w:tcPr>
          <w:p w14:paraId="1D287661" w14:textId="77777777" w:rsidR="004A2D2A" w:rsidRPr="00C175D4" w:rsidRDefault="004A2D2A" w:rsidP="00D96201">
            <w:pPr>
              <w:pStyle w:val="Default"/>
              <w:rPr>
                <w:rFonts w:asciiTheme="minorHAnsi" w:hAnsiTheme="minorHAnsi" w:cstheme="minorHAnsi"/>
                <w:sz w:val="23"/>
                <w:szCs w:val="23"/>
              </w:rPr>
            </w:pPr>
            <w:r w:rsidRPr="00C175D4">
              <w:rPr>
                <w:rFonts w:asciiTheme="minorHAnsi" w:hAnsiTheme="minorHAnsi" w:cstheme="minorHAnsi"/>
                <w:b/>
                <w:bCs/>
                <w:sz w:val="23"/>
                <w:szCs w:val="23"/>
              </w:rPr>
              <w:t xml:space="preserve">Recommended/Required </w:t>
            </w:r>
          </w:p>
        </w:tc>
      </w:tr>
      <w:tr w:rsidR="004A2D2A" w14:paraId="1689E47C" w14:textId="77777777" w:rsidTr="00D96201">
        <w:trPr>
          <w:trHeight w:val="313"/>
        </w:trPr>
        <w:tc>
          <w:tcPr>
            <w:tcW w:w="3218" w:type="dxa"/>
          </w:tcPr>
          <w:p w14:paraId="4F2AB562"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$0 up to $99.99</w:t>
            </w:r>
          </w:p>
        </w:tc>
        <w:tc>
          <w:tcPr>
            <w:tcW w:w="3218" w:type="dxa"/>
          </w:tcPr>
          <w:p w14:paraId="347D40ED"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Petty cash </w:t>
            </w:r>
          </w:p>
        </w:tc>
        <w:tc>
          <w:tcPr>
            <w:tcW w:w="3218" w:type="dxa"/>
          </w:tcPr>
          <w:p w14:paraId="44309326"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Recommended </w:t>
            </w:r>
          </w:p>
        </w:tc>
      </w:tr>
      <w:tr w:rsidR="004A2D2A" w14:paraId="41F4C9AA" w14:textId="77777777" w:rsidTr="00D96201">
        <w:trPr>
          <w:trHeight w:val="312"/>
        </w:trPr>
        <w:tc>
          <w:tcPr>
            <w:tcW w:w="3218" w:type="dxa"/>
          </w:tcPr>
          <w:p w14:paraId="430F2E0E"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$100 up to $2,999.99</w:t>
            </w:r>
          </w:p>
        </w:tc>
        <w:tc>
          <w:tcPr>
            <w:tcW w:w="3218" w:type="dxa"/>
          </w:tcPr>
          <w:p w14:paraId="3866B417" w14:textId="177DFCFF" w:rsidR="004A2D2A" w:rsidRPr="002F3625" w:rsidRDefault="00542FCB" w:rsidP="00D96201">
            <w:pPr>
              <w:pStyle w:val="Default"/>
              <w:rPr>
                <w:rFonts w:asciiTheme="minorHAnsi" w:hAnsiTheme="minorHAnsi" w:cstheme="minorBidi"/>
                <w:color w:val="auto"/>
                <w:sz w:val="23"/>
                <w:szCs w:val="23"/>
                <w:lang w:val="en-US"/>
              </w:rPr>
            </w:pPr>
            <w:r>
              <w:rPr>
                <w:rFonts w:asciiTheme="minorHAnsi" w:hAnsiTheme="minorHAnsi" w:cstheme="minorBidi"/>
                <w:color w:val="auto"/>
                <w:sz w:val="23"/>
                <w:szCs w:val="23"/>
                <w:lang w:val="en-US"/>
              </w:rPr>
              <w:t>Credit card</w:t>
            </w:r>
            <w:r w:rsidR="004A2D2A" w:rsidRPr="002F3625">
              <w:rPr>
                <w:rFonts w:asciiTheme="minorHAnsi" w:hAnsiTheme="minorHAnsi" w:cstheme="minorBidi"/>
                <w:color w:val="auto"/>
                <w:sz w:val="23"/>
                <w:szCs w:val="23"/>
                <w:lang w:val="en-US"/>
              </w:rPr>
              <w:t xml:space="preserve"> </w:t>
            </w:r>
          </w:p>
        </w:tc>
        <w:tc>
          <w:tcPr>
            <w:tcW w:w="3218" w:type="dxa"/>
          </w:tcPr>
          <w:p w14:paraId="5717AA80"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Recommended </w:t>
            </w:r>
          </w:p>
        </w:tc>
      </w:tr>
      <w:tr w:rsidR="004A2D2A" w14:paraId="594EEE67" w14:textId="77777777" w:rsidTr="00D96201">
        <w:trPr>
          <w:trHeight w:val="313"/>
        </w:trPr>
        <w:tc>
          <w:tcPr>
            <w:tcW w:w="3218" w:type="dxa"/>
          </w:tcPr>
          <w:p w14:paraId="66E95E70"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$3,000 up to $9,999.99 </w:t>
            </w:r>
          </w:p>
        </w:tc>
        <w:tc>
          <w:tcPr>
            <w:tcW w:w="3218" w:type="dxa"/>
          </w:tcPr>
          <w:p w14:paraId="21D8ED2B" w14:textId="5251C040"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Purchase order </w:t>
            </w:r>
            <w:r w:rsidR="00A339DC">
              <w:rPr>
                <w:rFonts w:asciiTheme="minorHAnsi" w:hAnsiTheme="minorHAnsi" w:cstheme="minorBidi"/>
                <w:color w:val="auto"/>
                <w:sz w:val="23"/>
                <w:szCs w:val="23"/>
                <w:lang w:val="en-US"/>
              </w:rPr>
              <w:t xml:space="preserve">(Template is </w:t>
            </w:r>
            <w:r w:rsidR="0007398A">
              <w:rPr>
                <w:rFonts w:asciiTheme="minorHAnsi" w:hAnsiTheme="minorHAnsi" w:cstheme="minorBidi"/>
                <w:color w:val="auto"/>
                <w:sz w:val="23"/>
                <w:szCs w:val="23"/>
                <w:lang w:val="en-US"/>
              </w:rPr>
              <w:t>on last page of this document)</w:t>
            </w:r>
          </w:p>
        </w:tc>
        <w:tc>
          <w:tcPr>
            <w:tcW w:w="3218" w:type="dxa"/>
          </w:tcPr>
          <w:p w14:paraId="1A0F557A"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Recommended </w:t>
            </w:r>
          </w:p>
        </w:tc>
      </w:tr>
      <w:tr w:rsidR="004A2D2A" w14:paraId="79B258F5" w14:textId="77777777" w:rsidTr="00D96201">
        <w:trPr>
          <w:trHeight w:val="610"/>
        </w:trPr>
        <w:tc>
          <w:tcPr>
            <w:tcW w:w="3218" w:type="dxa"/>
          </w:tcPr>
          <w:p w14:paraId="441CD164"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$10,000 up to $121,199.99 </w:t>
            </w:r>
          </w:p>
        </w:tc>
        <w:tc>
          <w:tcPr>
            <w:tcW w:w="3218" w:type="dxa"/>
          </w:tcPr>
          <w:p w14:paraId="2099B95B"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Invitational competitive procurement (minimum of three suppliers are invited to submit a bid) </w:t>
            </w:r>
          </w:p>
        </w:tc>
        <w:tc>
          <w:tcPr>
            <w:tcW w:w="3218" w:type="dxa"/>
          </w:tcPr>
          <w:p w14:paraId="44688B3C"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Recommended </w:t>
            </w:r>
          </w:p>
        </w:tc>
      </w:tr>
      <w:tr w:rsidR="004A2D2A" w14:paraId="65691D1A" w14:textId="77777777" w:rsidTr="00D96201">
        <w:trPr>
          <w:trHeight w:val="312"/>
        </w:trPr>
        <w:tc>
          <w:tcPr>
            <w:tcW w:w="3218" w:type="dxa"/>
          </w:tcPr>
          <w:p w14:paraId="4A0B98E1"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$121,200 or more </w:t>
            </w:r>
          </w:p>
        </w:tc>
        <w:tc>
          <w:tcPr>
            <w:tcW w:w="3218" w:type="dxa"/>
          </w:tcPr>
          <w:p w14:paraId="39F4BC8A"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Open competitive process </w:t>
            </w:r>
          </w:p>
        </w:tc>
        <w:tc>
          <w:tcPr>
            <w:tcW w:w="3218" w:type="dxa"/>
          </w:tcPr>
          <w:p w14:paraId="7CF1DAF0" w14:textId="77777777" w:rsidR="004A2D2A" w:rsidRPr="002F3625" w:rsidRDefault="004A2D2A" w:rsidP="00D96201">
            <w:pPr>
              <w:pStyle w:val="Default"/>
              <w:rPr>
                <w:rFonts w:asciiTheme="minorHAnsi" w:hAnsiTheme="minorHAnsi" w:cstheme="minorBidi"/>
                <w:color w:val="auto"/>
                <w:sz w:val="23"/>
                <w:szCs w:val="23"/>
                <w:lang w:val="en-US"/>
              </w:rPr>
            </w:pPr>
            <w:r w:rsidRPr="002F3625">
              <w:rPr>
                <w:rFonts w:asciiTheme="minorHAnsi" w:hAnsiTheme="minorHAnsi" w:cstheme="minorBidi"/>
                <w:color w:val="auto"/>
                <w:sz w:val="23"/>
                <w:szCs w:val="23"/>
                <w:lang w:val="en-US"/>
              </w:rPr>
              <w:t xml:space="preserve">Required </w:t>
            </w:r>
          </w:p>
        </w:tc>
      </w:tr>
    </w:tbl>
    <w:p w14:paraId="0C8E484A" w14:textId="77777777" w:rsidR="004A2D2A" w:rsidRDefault="004A2D2A" w:rsidP="00C175D4">
      <w:pPr>
        <w:spacing w:beforeAutospacing="1" w:after="0" w:afterAutospacing="1" w:line="240" w:lineRule="auto"/>
        <w:jc w:val="center"/>
        <w:textAlignment w:val="baseline"/>
        <w:rPr>
          <w:b/>
          <w:bCs/>
          <w:sz w:val="23"/>
          <w:szCs w:val="23"/>
        </w:rPr>
      </w:pPr>
      <w:r w:rsidRPr="00953CED">
        <w:rPr>
          <w:b/>
          <w:bCs/>
          <w:sz w:val="23"/>
          <w:szCs w:val="23"/>
        </w:rPr>
        <w:t>Consulting Services</w:t>
      </w:r>
    </w:p>
    <w:tbl>
      <w:tblPr>
        <w:tblW w:w="961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205"/>
        <w:gridCol w:w="3205"/>
      </w:tblGrid>
      <w:tr w:rsidR="004A2D2A" w14:paraId="2532B14C" w14:textId="77777777" w:rsidTr="00D96201">
        <w:trPr>
          <w:trHeight w:val="171"/>
        </w:trPr>
        <w:tc>
          <w:tcPr>
            <w:tcW w:w="3205" w:type="dxa"/>
          </w:tcPr>
          <w:p w14:paraId="4977EA31" w14:textId="77777777" w:rsidR="004A2D2A" w:rsidRPr="007B44FB" w:rsidRDefault="004A2D2A" w:rsidP="00D96201">
            <w:pPr>
              <w:pStyle w:val="Default"/>
              <w:rPr>
                <w:rFonts w:asciiTheme="minorHAnsi" w:hAnsiTheme="minorHAnsi" w:cstheme="minorHAnsi"/>
                <w:b/>
                <w:bCs/>
                <w:sz w:val="23"/>
                <w:szCs w:val="23"/>
              </w:rPr>
            </w:pPr>
            <w:r w:rsidRPr="007B44FB">
              <w:rPr>
                <w:rFonts w:asciiTheme="minorHAnsi" w:hAnsiTheme="minorHAnsi" w:cstheme="minorHAnsi"/>
                <w:b/>
                <w:bCs/>
                <w:sz w:val="23"/>
                <w:szCs w:val="23"/>
              </w:rPr>
              <w:t xml:space="preserve">Total Procurement Value </w:t>
            </w:r>
          </w:p>
        </w:tc>
        <w:tc>
          <w:tcPr>
            <w:tcW w:w="3205" w:type="dxa"/>
          </w:tcPr>
          <w:p w14:paraId="18603331" w14:textId="77777777" w:rsidR="004A2D2A" w:rsidRPr="007B44FB" w:rsidRDefault="004A2D2A" w:rsidP="00D96201">
            <w:pPr>
              <w:pStyle w:val="Default"/>
              <w:rPr>
                <w:rFonts w:asciiTheme="minorHAnsi" w:hAnsiTheme="minorHAnsi" w:cstheme="minorHAnsi"/>
                <w:b/>
                <w:bCs/>
                <w:sz w:val="23"/>
                <w:szCs w:val="23"/>
              </w:rPr>
            </w:pPr>
            <w:r w:rsidRPr="007B44FB">
              <w:rPr>
                <w:rFonts w:asciiTheme="minorHAnsi" w:hAnsiTheme="minorHAnsi" w:cstheme="minorHAnsi"/>
                <w:b/>
                <w:bCs/>
                <w:sz w:val="23"/>
                <w:szCs w:val="23"/>
              </w:rPr>
              <w:t xml:space="preserve">Means of Procurement </w:t>
            </w:r>
          </w:p>
        </w:tc>
        <w:tc>
          <w:tcPr>
            <w:tcW w:w="3205" w:type="dxa"/>
          </w:tcPr>
          <w:p w14:paraId="3D98AD07" w14:textId="77777777" w:rsidR="004A2D2A" w:rsidRPr="007B44FB" w:rsidRDefault="004A2D2A" w:rsidP="00D96201">
            <w:pPr>
              <w:pStyle w:val="Default"/>
              <w:rPr>
                <w:rFonts w:asciiTheme="minorHAnsi" w:hAnsiTheme="minorHAnsi" w:cstheme="minorHAnsi"/>
                <w:b/>
                <w:bCs/>
                <w:sz w:val="23"/>
                <w:szCs w:val="23"/>
              </w:rPr>
            </w:pPr>
            <w:r w:rsidRPr="007B44FB">
              <w:rPr>
                <w:rFonts w:asciiTheme="minorHAnsi" w:hAnsiTheme="minorHAnsi" w:cstheme="minorHAnsi"/>
                <w:b/>
                <w:bCs/>
                <w:sz w:val="23"/>
                <w:szCs w:val="23"/>
              </w:rPr>
              <w:t xml:space="preserve">Recommended/Required </w:t>
            </w:r>
          </w:p>
        </w:tc>
      </w:tr>
      <w:tr w:rsidR="004A2D2A" w14:paraId="58E4D255" w14:textId="77777777" w:rsidTr="00D96201">
        <w:trPr>
          <w:trHeight w:val="312"/>
        </w:trPr>
        <w:tc>
          <w:tcPr>
            <w:tcW w:w="3205" w:type="dxa"/>
          </w:tcPr>
          <w:p w14:paraId="24C87C97" w14:textId="77777777" w:rsidR="004A2D2A" w:rsidRPr="00C175D4" w:rsidRDefault="004A2D2A" w:rsidP="00D96201">
            <w:pPr>
              <w:pStyle w:val="Default"/>
              <w:rPr>
                <w:rFonts w:asciiTheme="minorHAnsi" w:hAnsiTheme="minorHAnsi" w:cstheme="minorBidi"/>
                <w:color w:val="auto"/>
                <w:sz w:val="23"/>
                <w:szCs w:val="23"/>
                <w:lang w:val="en-US"/>
              </w:rPr>
            </w:pPr>
            <w:r w:rsidRPr="00C175D4">
              <w:rPr>
                <w:rFonts w:asciiTheme="minorHAnsi" w:hAnsiTheme="minorHAnsi" w:cstheme="minorBidi"/>
                <w:color w:val="auto"/>
                <w:sz w:val="23"/>
                <w:szCs w:val="23"/>
                <w:lang w:val="en-US"/>
              </w:rPr>
              <w:t xml:space="preserve">$0 up to but not including $121,200 </w:t>
            </w:r>
          </w:p>
        </w:tc>
        <w:tc>
          <w:tcPr>
            <w:tcW w:w="3205" w:type="dxa"/>
          </w:tcPr>
          <w:p w14:paraId="3A606760" w14:textId="77777777" w:rsidR="004A2D2A" w:rsidRPr="00C175D4" w:rsidRDefault="004A2D2A" w:rsidP="00D96201">
            <w:pPr>
              <w:pStyle w:val="Default"/>
              <w:rPr>
                <w:rFonts w:asciiTheme="minorHAnsi" w:hAnsiTheme="minorHAnsi" w:cstheme="minorBidi"/>
                <w:color w:val="auto"/>
                <w:sz w:val="23"/>
                <w:szCs w:val="23"/>
                <w:lang w:val="en-US"/>
              </w:rPr>
            </w:pPr>
            <w:r w:rsidRPr="00C175D4">
              <w:rPr>
                <w:rFonts w:asciiTheme="minorHAnsi" w:hAnsiTheme="minorHAnsi" w:cstheme="minorBidi"/>
                <w:color w:val="auto"/>
                <w:sz w:val="23"/>
                <w:szCs w:val="23"/>
                <w:lang w:val="en-US"/>
              </w:rPr>
              <w:t xml:space="preserve">Invitational or open competitive process </w:t>
            </w:r>
          </w:p>
        </w:tc>
        <w:tc>
          <w:tcPr>
            <w:tcW w:w="3205" w:type="dxa"/>
          </w:tcPr>
          <w:p w14:paraId="1F6AA265" w14:textId="77777777" w:rsidR="004A2D2A" w:rsidRPr="00C175D4" w:rsidRDefault="004A2D2A" w:rsidP="00D96201">
            <w:pPr>
              <w:pStyle w:val="Default"/>
              <w:rPr>
                <w:rFonts w:asciiTheme="minorHAnsi" w:hAnsiTheme="minorHAnsi" w:cstheme="minorBidi"/>
                <w:color w:val="auto"/>
                <w:sz w:val="23"/>
                <w:szCs w:val="23"/>
                <w:lang w:val="en-US"/>
              </w:rPr>
            </w:pPr>
            <w:r w:rsidRPr="00C175D4">
              <w:rPr>
                <w:rFonts w:asciiTheme="minorHAnsi" w:hAnsiTheme="minorHAnsi" w:cstheme="minorBidi"/>
                <w:color w:val="auto"/>
                <w:sz w:val="23"/>
                <w:szCs w:val="23"/>
                <w:lang w:val="en-US"/>
              </w:rPr>
              <w:t xml:space="preserve">Required </w:t>
            </w:r>
          </w:p>
        </w:tc>
      </w:tr>
      <w:tr w:rsidR="004A2D2A" w14:paraId="27490F11" w14:textId="77777777" w:rsidTr="00D96201">
        <w:trPr>
          <w:trHeight w:val="312"/>
        </w:trPr>
        <w:tc>
          <w:tcPr>
            <w:tcW w:w="3205" w:type="dxa"/>
          </w:tcPr>
          <w:p w14:paraId="5D65F852" w14:textId="77777777" w:rsidR="004A2D2A" w:rsidRPr="00C175D4" w:rsidRDefault="004A2D2A" w:rsidP="00D96201">
            <w:pPr>
              <w:pStyle w:val="Default"/>
              <w:rPr>
                <w:rFonts w:asciiTheme="minorHAnsi" w:hAnsiTheme="minorHAnsi" w:cstheme="minorBidi"/>
                <w:color w:val="auto"/>
                <w:sz w:val="23"/>
                <w:szCs w:val="23"/>
                <w:lang w:val="en-US"/>
              </w:rPr>
            </w:pPr>
            <w:r w:rsidRPr="00C175D4">
              <w:rPr>
                <w:rFonts w:asciiTheme="minorHAnsi" w:hAnsiTheme="minorHAnsi" w:cstheme="minorBidi"/>
                <w:color w:val="auto"/>
                <w:sz w:val="23"/>
                <w:szCs w:val="23"/>
                <w:lang w:val="en-US"/>
              </w:rPr>
              <w:t xml:space="preserve">$121,200 or more </w:t>
            </w:r>
          </w:p>
        </w:tc>
        <w:tc>
          <w:tcPr>
            <w:tcW w:w="3205" w:type="dxa"/>
          </w:tcPr>
          <w:p w14:paraId="2BF43BC8" w14:textId="77777777" w:rsidR="004A2D2A" w:rsidRPr="00C175D4" w:rsidRDefault="004A2D2A" w:rsidP="00D96201">
            <w:pPr>
              <w:pStyle w:val="Default"/>
              <w:rPr>
                <w:rFonts w:asciiTheme="minorHAnsi" w:hAnsiTheme="minorHAnsi" w:cstheme="minorBidi"/>
                <w:color w:val="auto"/>
                <w:sz w:val="23"/>
                <w:szCs w:val="23"/>
                <w:lang w:val="en-US"/>
              </w:rPr>
            </w:pPr>
            <w:r w:rsidRPr="00C175D4">
              <w:rPr>
                <w:rFonts w:asciiTheme="minorHAnsi" w:hAnsiTheme="minorHAnsi" w:cstheme="minorBidi"/>
                <w:color w:val="auto"/>
                <w:sz w:val="23"/>
                <w:szCs w:val="23"/>
                <w:lang w:val="en-US"/>
              </w:rPr>
              <w:t xml:space="preserve">Open competitive process </w:t>
            </w:r>
          </w:p>
        </w:tc>
        <w:tc>
          <w:tcPr>
            <w:tcW w:w="3205" w:type="dxa"/>
          </w:tcPr>
          <w:p w14:paraId="53A620E7" w14:textId="77777777" w:rsidR="004A2D2A" w:rsidRPr="00C175D4" w:rsidRDefault="004A2D2A" w:rsidP="00D96201">
            <w:pPr>
              <w:pStyle w:val="Default"/>
              <w:rPr>
                <w:rFonts w:asciiTheme="minorHAnsi" w:hAnsiTheme="minorHAnsi" w:cstheme="minorBidi"/>
                <w:color w:val="auto"/>
                <w:sz w:val="23"/>
                <w:szCs w:val="23"/>
                <w:lang w:val="en-US"/>
              </w:rPr>
            </w:pPr>
            <w:r w:rsidRPr="00C175D4">
              <w:rPr>
                <w:rFonts w:asciiTheme="minorHAnsi" w:hAnsiTheme="minorHAnsi" w:cstheme="minorBidi"/>
                <w:color w:val="auto"/>
                <w:sz w:val="23"/>
                <w:szCs w:val="23"/>
                <w:lang w:val="en-US"/>
              </w:rPr>
              <w:t xml:space="preserve">Required </w:t>
            </w:r>
          </w:p>
        </w:tc>
      </w:tr>
    </w:tbl>
    <w:p w14:paraId="1B544799" w14:textId="77777777" w:rsidR="00626F7C" w:rsidRDefault="00626F7C" w:rsidP="004A2D2A">
      <w:pPr>
        <w:pStyle w:val="Default"/>
        <w:rPr>
          <w:rFonts w:asciiTheme="minorHAnsi" w:hAnsiTheme="minorHAnsi" w:cstheme="minorBidi"/>
          <w:color w:val="auto"/>
          <w:sz w:val="23"/>
          <w:szCs w:val="23"/>
          <w:lang w:val="en-US"/>
        </w:rPr>
      </w:pPr>
    </w:p>
    <w:p w14:paraId="38D3CE27" w14:textId="02D91D72" w:rsidR="004A2D2A" w:rsidRDefault="004A2D2A" w:rsidP="004A2D2A">
      <w:pPr>
        <w:pStyle w:val="Default"/>
        <w:rPr>
          <w:rFonts w:asciiTheme="minorHAnsi" w:hAnsiTheme="minorHAnsi" w:cstheme="minorBidi"/>
          <w:color w:val="auto"/>
          <w:sz w:val="23"/>
          <w:szCs w:val="23"/>
          <w:lang w:val="en-US"/>
        </w:rPr>
      </w:pPr>
      <w:r w:rsidRPr="004A2D2A">
        <w:rPr>
          <w:rFonts w:asciiTheme="minorHAnsi" w:hAnsiTheme="minorHAnsi" w:cstheme="minorBidi"/>
          <w:color w:val="auto"/>
          <w:sz w:val="23"/>
          <w:szCs w:val="23"/>
          <w:lang w:val="en-US"/>
        </w:rPr>
        <w:t>Employees</w:t>
      </w:r>
      <w:r w:rsidRPr="00913444">
        <w:rPr>
          <w:rFonts w:asciiTheme="minorHAnsi" w:hAnsiTheme="minorHAnsi" w:cstheme="minorBidi"/>
          <w:color w:val="auto"/>
          <w:sz w:val="23"/>
          <w:szCs w:val="23"/>
          <w:lang w:val="en-US"/>
        </w:rPr>
        <w:t xml:space="preserve"> must not reduce the overall value of procurement (e.g., dividing a single procurement into multiple procurements </w:t>
      </w:r>
      <w:r w:rsidR="0007398A" w:rsidRPr="00913444">
        <w:rPr>
          <w:rFonts w:asciiTheme="minorHAnsi" w:hAnsiTheme="minorHAnsi" w:cstheme="minorBidi"/>
          <w:color w:val="auto"/>
          <w:sz w:val="23"/>
          <w:szCs w:val="23"/>
          <w:lang w:val="en-US"/>
        </w:rPr>
        <w:t>to</w:t>
      </w:r>
      <w:r w:rsidRPr="00913444">
        <w:rPr>
          <w:rFonts w:asciiTheme="minorHAnsi" w:hAnsiTheme="minorHAnsi" w:cstheme="minorBidi"/>
          <w:color w:val="auto"/>
          <w:sz w:val="23"/>
          <w:szCs w:val="23"/>
          <w:lang w:val="en-US"/>
        </w:rPr>
        <w:t xml:space="preserve"> avoid the approval requirements of the organization's </w:t>
      </w:r>
      <w:r w:rsidR="00902536">
        <w:rPr>
          <w:rFonts w:asciiTheme="minorHAnsi" w:hAnsiTheme="minorHAnsi" w:cstheme="minorBidi"/>
          <w:color w:val="auto"/>
          <w:sz w:val="23"/>
          <w:szCs w:val="23"/>
          <w:lang w:val="en-US"/>
        </w:rPr>
        <w:t xml:space="preserve">approval </w:t>
      </w:r>
      <w:r w:rsidR="007F2D28">
        <w:rPr>
          <w:rFonts w:asciiTheme="minorHAnsi" w:hAnsiTheme="minorHAnsi" w:cstheme="minorBidi"/>
          <w:color w:val="auto"/>
          <w:sz w:val="23"/>
          <w:szCs w:val="23"/>
          <w:lang w:val="en-US"/>
        </w:rPr>
        <w:t>authority</w:t>
      </w:r>
      <w:r w:rsidR="00902536">
        <w:rPr>
          <w:rFonts w:asciiTheme="minorHAnsi" w:hAnsiTheme="minorHAnsi" w:cstheme="minorBidi"/>
          <w:color w:val="auto"/>
          <w:sz w:val="23"/>
          <w:szCs w:val="23"/>
          <w:lang w:val="en-US"/>
        </w:rPr>
        <w:t>.</w:t>
      </w:r>
    </w:p>
    <w:p w14:paraId="1CE91DDF" w14:textId="77777777" w:rsidR="00286301" w:rsidRDefault="00286301" w:rsidP="004A2D2A">
      <w:pPr>
        <w:pStyle w:val="Default"/>
        <w:rPr>
          <w:rFonts w:asciiTheme="minorHAnsi" w:hAnsiTheme="minorHAnsi" w:cstheme="minorBidi"/>
          <w:color w:val="auto"/>
          <w:sz w:val="23"/>
          <w:szCs w:val="23"/>
          <w:lang w:val="en-US"/>
        </w:rPr>
      </w:pPr>
    </w:p>
    <w:p w14:paraId="4815066C" w14:textId="1E35A9EE" w:rsidR="00286301" w:rsidRDefault="00286301" w:rsidP="004A2D2A">
      <w:pPr>
        <w:pStyle w:val="Default"/>
        <w:rPr>
          <w:rFonts w:asciiTheme="minorHAnsi" w:hAnsiTheme="minorHAnsi" w:cstheme="minorBidi"/>
          <w:color w:val="auto"/>
          <w:sz w:val="23"/>
          <w:szCs w:val="23"/>
          <w:lang w:val="en-US"/>
        </w:rPr>
      </w:pPr>
      <w:r>
        <w:rPr>
          <w:rFonts w:asciiTheme="minorHAnsi" w:hAnsiTheme="minorHAnsi" w:cstheme="minorBidi"/>
          <w:color w:val="auto"/>
          <w:sz w:val="23"/>
          <w:szCs w:val="23"/>
          <w:lang w:val="en-US"/>
        </w:rPr>
        <w:t>Approval Authority</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2"/>
        <w:gridCol w:w="4371"/>
        <w:gridCol w:w="3261"/>
      </w:tblGrid>
      <w:tr w:rsidR="007F2D28" w:rsidRPr="001E7DF6" w14:paraId="1F37E022" w14:textId="77777777" w:rsidTr="001E7DF6">
        <w:trPr>
          <w:trHeight w:val="300"/>
        </w:trPr>
        <w:tc>
          <w:tcPr>
            <w:tcW w:w="1682" w:type="dxa"/>
            <w:shd w:val="clear" w:color="auto" w:fill="auto"/>
            <w:hideMark/>
          </w:tcPr>
          <w:p w14:paraId="41BE6471" w14:textId="77777777" w:rsidR="00286301" w:rsidRPr="001E7DF6" w:rsidRDefault="00286301" w:rsidP="001E7DF6">
            <w:pPr>
              <w:pStyle w:val="Default"/>
              <w:rPr>
                <w:rFonts w:asciiTheme="minorHAnsi" w:hAnsiTheme="minorHAnsi" w:cstheme="minorHAnsi"/>
                <w:b/>
                <w:bCs/>
                <w:sz w:val="23"/>
                <w:szCs w:val="23"/>
              </w:rPr>
            </w:pPr>
            <w:r w:rsidRPr="001E7DF6">
              <w:rPr>
                <w:rFonts w:asciiTheme="minorHAnsi" w:hAnsiTheme="minorHAnsi" w:cstheme="minorHAnsi"/>
                <w:b/>
                <w:bCs/>
                <w:sz w:val="23"/>
                <w:szCs w:val="23"/>
              </w:rPr>
              <w:t> Procurement Roles </w:t>
            </w:r>
          </w:p>
        </w:tc>
        <w:tc>
          <w:tcPr>
            <w:tcW w:w="4371" w:type="dxa"/>
            <w:shd w:val="clear" w:color="auto" w:fill="auto"/>
            <w:vAlign w:val="bottom"/>
            <w:hideMark/>
          </w:tcPr>
          <w:p w14:paraId="40202BCD" w14:textId="77777777" w:rsidR="00286301" w:rsidRPr="001E7DF6" w:rsidRDefault="00286301" w:rsidP="001E7DF6">
            <w:pPr>
              <w:pStyle w:val="Default"/>
              <w:rPr>
                <w:rFonts w:asciiTheme="minorHAnsi" w:hAnsiTheme="minorHAnsi" w:cstheme="minorHAnsi"/>
                <w:b/>
                <w:bCs/>
                <w:sz w:val="23"/>
                <w:szCs w:val="23"/>
              </w:rPr>
            </w:pPr>
            <w:r w:rsidRPr="001E7DF6">
              <w:rPr>
                <w:rFonts w:asciiTheme="minorHAnsi" w:hAnsiTheme="minorHAnsi" w:cstheme="minorHAnsi"/>
                <w:b/>
                <w:bCs/>
                <w:sz w:val="23"/>
                <w:szCs w:val="23"/>
              </w:rPr>
              <w:t>Agency Position </w:t>
            </w:r>
          </w:p>
        </w:tc>
        <w:tc>
          <w:tcPr>
            <w:tcW w:w="3261" w:type="dxa"/>
            <w:shd w:val="clear" w:color="auto" w:fill="auto"/>
            <w:vAlign w:val="bottom"/>
            <w:hideMark/>
          </w:tcPr>
          <w:p w14:paraId="2D3D2EC4" w14:textId="77777777" w:rsidR="00286301" w:rsidRPr="001E7DF6" w:rsidRDefault="00286301" w:rsidP="001E7DF6">
            <w:pPr>
              <w:pStyle w:val="Default"/>
              <w:rPr>
                <w:rFonts w:asciiTheme="minorHAnsi" w:hAnsiTheme="minorHAnsi" w:cstheme="minorHAnsi"/>
                <w:b/>
                <w:bCs/>
                <w:sz w:val="23"/>
                <w:szCs w:val="23"/>
              </w:rPr>
            </w:pPr>
            <w:r w:rsidRPr="001E7DF6">
              <w:rPr>
                <w:rFonts w:asciiTheme="minorHAnsi" w:hAnsiTheme="minorHAnsi" w:cstheme="minorHAnsi"/>
                <w:b/>
                <w:bCs/>
                <w:sz w:val="23"/>
                <w:szCs w:val="23"/>
              </w:rPr>
              <w:t>Documentation </w:t>
            </w:r>
          </w:p>
        </w:tc>
      </w:tr>
      <w:tr w:rsidR="007F2D28" w:rsidRPr="001E7DF6" w14:paraId="66047952" w14:textId="77777777" w:rsidTr="001E7DF6">
        <w:trPr>
          <w:trHeight w:val="300"/>
        </w:trPr>
        <w:tc>
          <w:tcPr>
            <w:tcW w:w="1682" w:type="dxa"/>
            <w:shd w:val="clear" w:color="auto" w:fill="auto"/>
            <w:hideMark/>
          </w:tcPr>
          <w:p w14:paraId="3D9E4467"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Budgeting </w:t>
            </w:r>
          </w:p>
        </w:tc>
        <w:tc>
          <w:tcPr>
            <w:tcW w:w="4371" w:type="dxa"/>
            <w:shd w:val="clear" w:color="auto" w:fill="auto"/>
            <w:hideMark/>
          </w:tcPr>
          <w:p w14:paraId="7BB30B44" w14:textId="16D6C9E4"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Finance Director </w:t>
            </w:r>
          </w:p>
        </w:tc>
        <w:tc>
          <w:tcPr>
            <w:tcW w:w="3261" w:type="dxa"/>
            <w:shd w:val="clear" w:color="auto" w:fill="auto"/>
            <w:hideMark/>
          </w:tcPr>
          <w:p w14:paraId="1EC42678"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 xml:space="preserve">Agency budget as approved by Board of Directors and assigned cost </w:t>
            </w:r>
            <w:proofErr w:type="spellStart"/>
            <w:r w:rsidRPr="001E7DF6">
              <w:rPr>
                <w:rFonts w:asciiTheme="minorHAnsi" w:hAnsiTheme="minorHAnsi" w:cstheme="minorBidi"/>
                <w:color w:val="auto"/>
                <w:sz w:val="23"/>
                <w:szCs w:val="23"/>
                <w:lang w:val="en-US"/>
              </w:rPr>
              <w:t>centre</w:t>
            </w:r>
            <w:proofErr w:type="spellEnd"/>
            <w:r w:rsidRPr="001E7DF6">
              <w:rPr>
                <w:rFonts w:asciiTheme="minorHAnsi" w:hAnsiTheme="minorHAnsi" w:cstheme="minorBidi"/>
                <w:color w:val="auto"/>
                <w:sz w:val="23"/>
                <w:szCs w:val="23"/>
                <w:lang w:val="en-US"/>
              </w:rPr>
              <w:t xml:space="preserve"> budgets </w:t>
            </w:r>
          </w:p>
        </w:tc>
      </w:tr>
      <w:tr w:rsidR="007F2D28" w:rsidRPr="001E7DF6" w14:paraId="4781BADA" w14:textId="77777777" w:rsidTr="001E7DF6">
        <w:trPr>
          <w:trHeight w:val="300"/>
        </w:trPr>
        <w:tc>
          <w:tcPr>
            <w:tcW w:w="1682" w:type="dxa"/>
            <w:shd w:val="clear" w:color="auto" w:fill="auto"/>
            <w:hideMark/>
          </w:tcPr>
          <w:p w14:paraId="54AF33AD"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Requisition </w:t>
            </w:r>
          </w:p>
        </w:tc>
        <w:tc>
          <w:tcPr>
            <w:tcW w:w="4371" w:type="dxa"/>
            <w:shd w:val="clear" w:color="auto" w:fill="auto"/>
            <w:hideMark/>
          </w:tcPr>
          <w:p w14:paraId="605E5B79" w14:textId="4581E000"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 xml:space="preserve">Office Operations (e.g. office supplies) Finance Supervisor </w:t>
            </w:r>
          </w:p>
          <w:p w14:paraId="1EE812D1" w14:textId="77777777" w:rsidR="00286301" w:rsidRPr="001E7DF6" w:rsidRDefault="00286301" w:rsidP="001E7DF6">
            <w:pPr>
              <w:pStyle w:val="Default"/>
              <w:rPr>
                <w:rFonts w:asciiTheme="minorHAnsi" w:hAnsiTheme="minorHAnsi" w:cstheme="minorBidi"/>
                <w:color w:val="auto"/>
                <w:sz w:val="23"/>
                <w:szCs w:val="23"/>
                <w:lang w:val="en-US"/>
              </w:rPr>
            </w:pPr>
          </w:p>
          <w:p w14:paraId="611CB448" w14:textId="253D2A2A"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 xml:space="preserve">Building Operations (e.g. janitorial supplies and maintenance) </w:t>
            </w:r>
          </w:p>
          <w:p w14:paraId="0B9FE55A" w14:textId="78A15A93"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Facilities Services Supervisor</w:t>
            </w:r>
          </w:p>
          <w:p w14:paraId="200BE681" w14:textId="77777777" w:rsidR="00544DB2" w:rsidRPr="001E7DF6" w:rsidRDefault="00544DB2" w:rsidP="001E7DF6">
            <w:pPr>
              <w:pStyle w:val="Default"/>
              <w:rPr>
                <w:rFonts w:asciiTheme="minorHAnsi" w:hAnsiTheme="minorHAnsi" w:cstheme="minorBidi"/>
                <w:color w:val="auto"/>
                <w:sz w:val="23"/>
                <w:szCs w:val="23"/>
                <w:lang w:val="en-US"/>
              </w:rPr>
            </w:pPr>
          </w:p>
          <w:p w14:paraId="43E42FD6" w14:textId="5B3858E4" w:rsidR="00544DB2" w:rsidRPr="001E7DF6" w:rsidRDefault="00544DB2"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Technical services (e.g. IT)</w:t>
            </w:r>
          </w:p>
          <w:p w14:paraId="0645F425" w14:textId="700E6ABE" w:rsidR="00544DB2" w:rsidRPr="001E7DF6" w:rsidRDefault="00544DB2"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Technology Services Director</w:t>
            </w:r>
          </w:p>
          <w:p w14:paraId="6615A649" w14:textId="77777777" w:rsidR="00286301" w:rsidRPr="001E7DF6" w:rsidRDefault="00286301" w:rsidP="001E7DF6">
            <w:pPr>
              <w:pStyle w:val="Default"/>
              <w:rPr>
                <w:rFonts w:asciiTheme="minorHAnsi" w:hAnsiTheme="minorHAnsi" w:cstheme="minorBidi"/>
                <w:color w:val="auto"/>
                <w:sz w:val="23"/>
                <w:szCs w:val="23"/>
                <w:lang w:val="en-US"/>
              </w:rPr>
            </w:pPr>
          </w:p>
          <w:p w14:paraId="102E5749"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Client Needs –Case worker based on budget and commitment approved by supervisor, director or director per delegation of financial authority </w:t>
            </w:r>
          </w:p>
        </w:tc>
        <w:tc>
          <w:tcPr>
            <w:tcW w:w="3261" w:type="dxa"/>
            <w:shd w:val="clear" w:color="auto" w:fill="auto"/>
            <w:hideMark/>
          </w:tcPr>
          <w:p w14:paraId="5CD737BA" w14:textId="694C6732"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Documentation per procurement thresholds</w:t>
            </w:r>
          </w:p>
        </w:tc>
      </w:tr>
      <w:tr w:rsidR="007F2D28" w:rsidRPr="001E7DF6" w14:paraId="0477314F" w14:textId="77777777" w:rsidTr="001E7DF6">
        <w:trPr>
          <w:trHeight w:val="300"/>
        </w:trPr>
        <w:tc>
          <w:tcPr>
            <w:tcW w:w="1682" w:type="dxa"/>
            <w:shd w:val="clear" w:color="auto" w:fill="auto"/>
            <w:hideMark/>
          </w:tcPr>
          <w:p w14:paraId="56EA26B1"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lastRenderedPageBreak/>
              <w:t>Commitment </w:t>
            </w:r>
          </w:p>
        </w:tc>
        <w:tc>
          <w:tcPr>
            <w:tcW w:w="4371" w:type="dxa"/>
            <w:shd w:val="clear" w:color="auto" w:fill="auto"/>
            <w:hideMark/>
          </w:tcPr>
          <w:p w14:paraId="6FDB4AE9"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Director per delegation of financial authority </w:t>
            </w:r>
          </w:p>
        </w:tc>
        <w:tc>
          <w:tcPr>
            <w:tcW w:w="3261" w:type="dxa"/>
            <w:shd w:val="clear" w:color="auto" w:fill="auto"/>
            <w:hideMark/>
          </w:tcPr>
          <w:p w14:paraId="4AD5BB17"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A signed contract, purchased order, or document noting commitment made </w:t>
            </w:r>
          </w:p>
        </w:tc>
      </w:tr>
      <w:tr w:rsidR="007F2D28" w:rsidRPr="001E7DF6" w14:paraId="4DA0FA62" w14:textId="77777777" w:rsidTr="001E7DF6">
        <w:trPr>
          <w:trHeight w:val="300"/>
        </w:trPr>
        <w:tc>
          <w:tcPr>
            <w:tcW w:w="1682" w:type="dxa"/>
            <w:shd w:val="clear" w:color="auto" w:fill="auto"/>
            <w:hideMark/>
          </w:tcPr>
          <w:p w14:paraId="6BAB4FE8"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Receipt </w:t>
            </w:r>
          </w:p>
        </w:tc>
        <w:tc>
          <w:tcPr>
            <w:tcW w:w="4371" w:type="dxa"/>
            <w:shd w:val="clear" w:color="auto" w:fill="auto"/>
            <w:hideMark/>
          </w:tcPr>
          <w:p w14:paraId="26255791"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Office Operations –receptionist at each office location  </w:t>
            </w:r>
          </w:p>
          <w:p w14:paraId="019D18E4" w14:textId="77777777" w:rsidR="00286301" w:rsidRPr="001E7DF6" w:rsidRDefault="00286301" w:rsidP="001E7DF6">
            <w:pPr>
              <w:pStyle w:val="Default"/>
              <w:rPr>
                <w:rFonts w:asciiTheme="minorHAnsi" w:hAnsiTheme="minorHAnsi" w:cstheme="minorBidi"/>
                <w:color w:val="auto"/>
                <w:sz w:val="23"/>
                <w:szCs w:val="23"/>
                <w:lang w:val="en-US"/>
              </w:rPr>
            </w:pPr>
          </w:p>
          <w:p w14:paraId="007B0A65" w14:textId="77777777" w:rsidR="0053739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Building Operations –</w:t>
            </w:r>
            <w:r w:rsidR="00537391" w:rsidRPr="001E7DF6">
              <w:rPr>
                <w:rFonts w:asciiTheme="minorHAnsi" w:hAnsiTheme="minorHAnsi" w:cstheme="minorBidi"/>
                <w:color w:val="auto"/>
                <w:sz w:val="23"/>
                <w:szCs w:val="23"/>
                <w:lang w:val="en-US"/>
              </w:rPr>
              <w:t xml:space="preserve"> Facilities </w:t>
            </w:r>
            <w:r w:rsidRPr="001E7DF6">
              <w:rPr>
                <w:rFonts w:asciiTheme="minorHAnsi" w:hAnsiTheme="minorHAnsi" w:cstheme="minorBidi"/>
                <w:color w:val="auto"/>
                <w:sz w:val="23"/>
                <w:szCs w:val="23"/>
                <w:lang w:val="en-US"/>
              </w:rPr>
              <w:t xml:space="preserve">coordinator or </w:t>
            </w:r>
            <w:r w:rsidR="00537391" w:rsidRPr="001E7DF6">
              <w:rPr>
                <w:rFonts w:asciiTheme="minorHAnsi" w:hAnsiTheme="minorHAnsi" w:cstheme="minorBidi"/>
                <w:color w:val="auto"/>
                <w:sz w:val="23"/>
                <w:szCs w:val="23"/>
                <w:lang w:val="en-US"/>
              </w:rPr>
              <w:t>Facilities Services Supervisor</w:t>
            </w:r>
          </w:p>
          <w:p w14:paraId="16BE648A" w14:textId="77777777" w:rsidR="00286301" w:rsidRPr="001E7DF6" w:rsidRDefault="00286301" w:rsidP="001E7DF6">
            <w:pPr>
              <w:pStyle w:val="Default"/>
              <w:rPr>
                <w:rFonts w:asciiTheme="minorHAnsi" w:hAnsiTheme="minorHAnsi" w:cstheme="minorBidi"/>
                <w:color w:val="auto"/>
                <w:sz w:val="23"/>
                <w:szCs w:val="23"/>
                <w:lang w:val="en-US"/>
              </w:rPr>
            </w:pPr>
          </w:p>
          <w:p w14:paraId="6A38573A" w14:textId="77777777" w:rsidR="00537391" w:rsidRPr="001E7DF6" w:rsidRDefault="00544DB2"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 xml:space="preserve">Technical services </w:t>
            </w:r>
            <w:r w:rsidR="00537391" w:rsidRPr="001E7DF6">
              <w:rPr>
                <w:rFonts w:asciiTheme="minorHAnsi" w:hAnsiTheme="minorHAnsi" w:cstheme="minorBidi"/>
                <w:color w:val="auto"/>
                <w:sz w:val="23"/>
                <w:szCs w:val="23"/>
                <w:lang w:val="en-US"/>
              </w:rPr>
              <w:t>- Technology Services Director</w:t>
            </w:r>
          </w:p>
          <w:p w14:paraId="033520F4" w14:textId="77777777" w:rsidR="00544DB2" w:rsidRPr="001E7DF6" w:rsidRDefault="00544DB2" w:rsidP="001E7DF6">
            <w:pPr>
              <w:pStyle w:val="Default"/>
              <w:rPr>
                <w:rFonts w:asciiTheme="minorHAnsi" w:hAnsiTheme="minorHAnsi" w:cstheme="minorBidi"/>
                <w:color w:val="auto"/>
                <w:sz w:val="23"/>
                <w:szCs w:val="23"/>
                <w:lang w:val="en-US"/>
              </w:rPr>
            </w:pPr>
          </w:p>
          <w:p w14:paraId="2123B772"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Client Needs –client in care and confirmed by case worker </w:t>
            </w:r>
          </w:p>
        </w:tc>
        <w:tc>
          <w:tcPr>
            <w:tcW w:w="3261" w:type="dxa"/>
            <w:shd w:val="clear" w:color="auto" w:fill="auto"/>
            <w:hideMark/>
          </w:tcPr>
          <w:p w14:paraId="7241492B"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Includes packing slip or other document that includes the pertinent procured information that is signed by the person who can confirm what has been received. </w:t>
            </w:r>
          </w:p>
        </w:tc>
      </w:tr>
      <w:tr w:rsidR="007F2D28" w:rsidRPr="001E7DF6" w14:paraId="4FB7244A" w14:textId="77777777" w:rsidTr="001E7DF6">
        <w:trPr>
          <w:trHeight w:val="300"/>
        </w:trPr>
        <w:tc>
          <w:tcPr>
            <w:tcW w:w="1682" w:type="dxa"/>
            <w:shd w:val="clear" w:color="auto" w:fill="auto"/>
            <w:hideMark/>
          </w:tcPr>
          <w:p w14:paraId="33B2584B" w14:textId="77777777"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Payment </w:t>
            </w:r>
          </w:p>
        </w:tc>
        <w:tc>
          <w:tcPr>
            <w:tcW w:w="4371" w:type="dxa"/>
            <w:shd w:val="clear" w:color="auto" w:fill="auto"/>
            <w:hideMark/>
          </w:tcPr>
          <w:p w14:paraId="5BF21527" w14:textId="0EEC8193"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Accounts Payable –Finance staff based on match of authorization with confirmation of receipt</w:t>
            </w:r>
            <w:r w:rsidR="00537391" w:rsidRPr="001E7DF6">
              <w:rPr>
                <w:rFonts w:asciiTheme="minorHAnsi" w:hAnsiTheme="minorHAnsi" w:cstheme="minorBidi"/>
                <w:color w:val="auto"/>
                <w:sz w:val="23"/>
                <w:szCs w:val="23"/>
                <w:lang w:val="en-US"/>
              </w:rPr>
              <w:t>,</w:t>
            </w:r>
            <w:r w:rsidRPr="001E7DF6">
              <w:rPr>
                <w:rFonts w:asciiTheme="minorHAnsi" w:hAnsiTheme="minorHAnsi" w:cstheme="minorBidi"/>
                <w:color w:val="auto"/>
                <w:sz w:val="23"/>
                <w:szCs w:val="23"/>
                <w:lang w:val="en-US"/>
              </w:rPr>
              <w:t xml:space="preserve"> </w:t>
            </w:r>
            <w:r w:rsidR="00537391" w:rsidRPr="001E7DF6">
              <w:rPr>
                <w:rFonts w:asciiTheme="minorHAnsi" w:hAnsiTheme="minorHAnsi" w:cstheme="minorBidi"/>
                <w:color w:val="auto"/>
                <w:sz w:val="23"/>
                <w:szCs w:val="23"/>
                <w:lang w:val="en-US"/>
              </w:rPr>
              <w:t xml:space="preserve">purchase order </w:t>
            </w:r>
            <w:r w:rsidRPr="001E7DF6">
              <w:rPr>
                <w:rFonts w:asciiTheme="minorHAnsi" w:hAnsiTheme="minorHAnsi" w:cstheme="minorBidi"/>
                <w:color w:val="auto"/>
                <w:sz w:val="23"/>
                <w:szCs w:val="23"/>
                <w:lang w:val="en-US"/>
              </w:rPr>
              <w:t>and invoice. </w:t>
            </w:r>
          </w:p>
        </w:tc>
        <w:tc>
          <w:tcPr>
            <w:tcW w:w="3261" w:type="dxa"/>
            <w:shd w:val="clear" w:color="auto" w:fill="auto"/>
            <w:hideMark/>
          </w:tcPr>
          <w:p w14:paraId="71226630" w14:textId="7A2A2E1B" w:rsidR="00286301" w:rsidRPr="001E7DF6" w:rsidRDefault="00286301" w:rsidP="001E7DF6">
            <w:pPr>
              <w:pStyle w:val="Default"/>
              <w:rPr>
                <w:rFonts w:asciiTheme="minorHAnsi" w:hAnsiTheme="minorHAnsi" w:cstheme="minorBidi"/>
                <w:color w:val="auto"/>
                <w:sz w:val="23"/>
                <w:szCs w:val="23"/>
                <w:lang w:val="en-US"/>
              </w:rPr>
            </w:pPr>
            <w:r w:rsidRPr="001E7DF6">
              <w:rPr>
                <w:rFonts w:asciiTheme="minorHAnsi" w:hAnsiTheme="minorHAnsi" w:cstheme="minorBidi"/>
                <w:color w:val="auto"/>
                <w:sz w:val="23"/>
                <w:szCs w:val="23"/>
                <w:lang w:val="en-US"/>
              </w:rPr>
              <w:t xml:space="preserve">Invoice authorized for payment per the delegation of financial authority and matched to </w:t>
            </w:r>
            <w:r w:rsidR="00537391" w:rsidRPr="001E7DF6">
              <w:rPr>
                <w:rFonts w:asciiTheme="minorHAnsi" w:hAnsiTheme="minorHAnsi" w:cstheme="minorBidi"/>
                <w:color w:val="auto"/>
                <w:sz w:val="23"/>
                <w:szCs w:val="23"/>
                <w:lang w:val="en-US"/>
              </w:rPr>
              <w:t>purchase order</w:t>
            </w:r>
            <w:r w:rsidRPr="001E7DF6">
              <w:rPr>
                <w:rFonts w:asciiTheme="minorHAnsi" w:hAnsiTheme="minorHAnsi" w:cstheme="minorBidi"/>
                <w:color w:val="auto"/>
                <w:sz w:val="23"/>
                <w:szCs w:val="23"/>
                <w:lang w:val="en-US"/>
              </w:rPr>
              <w:t xml:space="preserve"> and receipt </w:t>
            </w:r>
          </w:p>
        </w:tc>
      </w:tr>
    </w:tbl>
    <w:p w14:paraId="5A6076E7" w14:textId="77777777" w:rsidR="00286301" w:rsidRPr="00913444" w:rsidRDefault="00286301" w:rsidP="004A2D2A">
      <w:pPr>
        <w:pStyle w:val="Default"/>
        <w:rPr>
          <w:rFonts w:asciiTheme="minorHAnsi" w:hAnsiTheme="minorHAnsi" w:cstheme="minorBidi"/>
          <w:color w:val="auto"/>
          <w:sz w:val="23"/>
          <w:szCs w:val="23"/>
          <w:lang w:val="en-US"/>
        </w:rPr>
      </w:pPr>
    </w:p>
    <w:p w14:paraId="76D0833D" w14:textId="5239B04A" w:rsidR="006B699E" w:rsidRPr="007073F9" w:rsidRDefault="006B699E" w:rsidP="007073F9">
      <w:pPr>
        <w:pStyle w:val="Default"/>
        <w:rPr>
          <w:rFonts w:asciiTheme="minorHAnsi" w:hAnsiTheme="minorHAnsi" w:cstheme="minorBidi"/>
          <w:color w:val="auto"/>
          <w:sz w:val="23"/>
          <w:szCs w:val="23"/>
          <w:lang w:val="en-US"/>
        </w:rPr>
      </w:pPr>
    </w:p>
    <w:tbl>
      <w:tblPr>
        <w:tblStyle w:val="TableGrid"/>
        <w:tblW w:w="0" w:type="auto"/>
        <w:tblLook w:val="04A0" w:firstRow="1" w:lastRow="0" w:firstColumn="1" w:lastColumn="0" w:noHBand="0" w:noVBand="1"/>
      </w:tblPr>
      <w:tblGrid>
        <w:gridCol w:w="8921"/>
      </w:tblGrid>
      <w:tr w:rsidR="005D4163" w:rsidRPr="007073F9" w14:paraId="5FA945D7" w14:textId="77777777" w:rsidTr="00C04ED8">
        <w:tc>
          <w:tcPr>
            <w:tcW w:w="9350" w:type="dxa"/>
            <w:shd w:val="clear" w:color="auto" w:fill="EDEDED" w:themeFill="accent3" w:themeFillTint="33"/>
          </w:tcPr>
          <w:p w14:paraId="445A84E6" w14:textId="03D65906" w:rsidR="005D4163" w:rsidRPr="007073F9" w:rsidRDefault="005D4163" w:rsidP="007073F9">
            <w:pPr>
              <w:rPr>
                <w:b/>
                <w:bCs/>
              </w:rPr>
            </w:pPr>
            <w:r w:rsidRPr="007073F9">
              <w:rPr>
                <w:b/>
                <w:bCs/>
              </w:rPr>
              <w:t>Building Ontario Businesses Initiative (BOBI)</w:t>
            </w:r>
          </w:p>
        </w:tc>
      </w:tr>
    </w:tbl>
    <w:p w14:paraId="684360C3" w14:textId="77777777" w:rsidR="00AD50EA" w:rsidRPr="007073F9" w:rsidRDefault="00AD50EA" w:rsidP="00AD50EA">
      <w:pPr>
        <w:pStyle w:val="Default"/>
        <w:rPr>
          <w:rFonts w:asciiTheme="minorHAnsi" w:hAnsiTheme="minorHAnsi" w:cstheme="minorBidi"/>
          <w:i/>
          <w:iCs/>
          <w:color w:val="FF0000"/>
          <w:sz w:val="23"/>
          <w:szCs w:val="23"/>
          <w:lang w:val="en-US"/>
        </w:rPr>
      </w:pPr>
    </w:p>
    <w:p w14:paraId="03BFA07B" w14:textId="1D01DA63" w:rsidR="004A2D2A" w:rsidRPr="00C175D4" w:rsidRDefault="004A2D2A" w:rsidP="004A2D2A">
      <w:pPr>
        <w:rPr>
          <w:sz w:val="23"/>
          <w:szCs w:val="23"/>
        </w:rPr>
      </w:pPr>
      <w:r w:rsidRPr="00C175D4">
        <w:rPr>
          <w:sz w:val="23"/>
          <w:szCs w:val="23"/>
        </w:rPr>
        <w:t>Building Ontario Businesses Initiative (BOBI) is to leverage Ontario’s purchasing power to support economic growth, and to provide the criteria for when Broader public service organizations are required to procure from Ontario or Canadian businesses. All purchases under $121,200 must give preference to Ontario suppliers.</w:t>
      </w:r>
    </w:p>
    <w:p w14:paraId="7BE3FE11" w14:textId="314B28E7" w:rsidR="00AD50EA" w:rsidRPr="00280AD5" w:rsidRDefault="00AD50EA" w:rsidP="00160AD0">
      <w:pPr>
        <w:pStyle w:val="Default"/>
        <w:ind w:left="426"/>
        <w:rPr>
          <w:rFonts w:asciiTheme="minorHAnsi" w:hAnsiTheme="minorHAnsi" w:cstheme="minorBidi"/>
          <w:color w:val="auto"/>
          <w:sz w:val="23"/>
          <w:szCs w:val="23"/>
          <w:lang w:val="en-US"/>
        </w:rPr>
      </w:pPr>
      <w:r w:rsidRPr="007073F9">
        <w:rPr>
          <w:rFonts w:asciiTheme="minorHAnsi" w:hAnsiTheme="minorHAnsi" w:cstheme="minorBidi"/>
          <w:color w:val="auto"/>
          <w:sz w:val="23"/>
          <w:szCs w:val="23"/>
          <w:lang w:val="en-US"/>
        </w:rPr>
        <w:t>FACS must obtain goods and services from Ontario businesses wherever possibl</w:t>
      </w:r>
      <w:r w:rsidR="00EB6BC3" w:rsidRPr="007073F9">
        <w:rPr>
          <w:rFonts w:asciiTheme="minorHAnsi" w:hAnsiTheme="minorHAnsi" w:cstheme="minorBidi"/>
          <w:color w:val="auto"/>
          <w:sz w:val="23"/>
          <w:szCs w:val="23"/>
          <w:lang w:val="en-US"/>
        </w:rPr>
        <w:t xml:space="preserve">e and </w:t>
      </w:r>
      <w:r w:rsidR="006F335E" w:rsidRPr="007073F9">
        <w:rPr>
          <w:rFonts w:asciiTheme="minorHAnsi" w:hAnsiTheme="minorHAnsi" w:cstheme="minorBidi"/>
          <w:color w:val="auto"/>
          <w:sz w:val="23"/>
          <w:szCs w:val="23"/>
          <w:lang w:val="en-US"/>
        </w:rPr>
        <w:t xml:space="preserve">request </w:t>
      </w:r>
      <w:r w:rsidR="00860E88" w:rsidRPr="007073F9">
        <w:rPr>
          <w:rFonts w:asciiTheme="minorHAnsi" w:hAnsiTheme="minorHAnsi" w:cstheme="minorBidi"/>
          <w:color w:val="auto"/>
          <w:sz w:val="23"/>
          <w:szCs w:val="23"/>
          <w:lang w:val="en-US"/>
        </w:rPr>
        <w:t xml:space="preserve">each </w:t>
      </w:r>
      <w:r w:rsidR="006F335E" w:rsidRPr="007073F9">
        <w:rPr>
          <w:rFonts w:asciiTheme="minorHAnsi" w:hAnsiTheme="minorHAnsi" w:cstheme="minorBidi"/>
          <w:color w:val="auto"/>
          <w:sz w:val="23"/>
          <w:szCs w:val="23"/>
          <w:lang w:val="en-US"/>
        </w:rPr>
        <w:t>vendor demonstrate</w:t>
      </w:r>
      <w:r w:rsidR="006F335E" w:rsidRPr="00280AD5">
        <w:rPr>
          <w:rFonts w:asciiTheme="minorHAnsi" w:hAnsiTheme="minorHAnsi" w:cstheme="minorBidi"/>
          <w:color w:val="auto"/>
          <w:sz w:val="23"/>
          <w:szCs w:val="23"/>
          <w:lang w:val="en-US"/>
        </w:rPr>
        <w:t xml:space="preserve"> they meet the following requirements:</w:t>
      </w:r>
    </w:p>
    <w:p w14:paraId="4D4311CB" w14:textId="05657FC1" w:rsidR="00280AD5" w:rsidRPr="00280AD5" w:rsidRDefault="00280AD5" w:rsidP="007073F9">
      <w:pPr>
        <w:pStyle w:val="Default"/>
        <w:numPr>
          <w:ilvl w:val="0"/>
          <w:numId w:val="6"/>
        </w:numPr>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 xml:space="preserve">has its headquarters or main office in Ontario, OR </w:t>
      </w:r>
    </w:p>
    <w:p w14:paraId="210E84A5" w14:textId="240E5651" w:rsidR="00280AD5" w:rsidRPr="00280AD5" w:rsidRDefault="00280AD5" w:rsidP="007073F9">
      <w:pPr>
        <w:pStyle w:val="Default"/>
        <w:numPr>
          <w:ilvl w:val="0"/>
          <w:numId w:val="6"/>
        </w:numPr>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 xml:space="preserve">has at least 250 full-time employees in Ontario at the time of the applicable procurement process </w:t>
      </w:r>
    </w:p>
    <w:p w14:paraId="2B649C08" w14:textId="77777777" w:rsidR="00AD50EA" w:rsidRDefault="00AD50EA" w:rsidP="00DD2852">
      <w:pPr>
        <w:pStyle w:val="Default"/>
        <w:rPr>
          <w:sz w:val="23"/>
          <w:szCs w:val="23"/>
        </w:rPr>
      </w:pPr>
    </w:p>
    <w:p w14:paraId="74857332" w14:textId="66DAC7E6" w:rsidR="009D435E" w:rsidRPr="00280AD5" w:rsidRDefault="00DD2852" w:rsidP="009D435E">
      <w:pPr>
        <w:pStyle w:val="Default"/>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 xml:space="preserve">FACS must use existing Vendor </w:t>
      </w:r>
      <w:r w:rsidR="00160AD0">
        <w:rPr>
          <w:rFonts w:asciiTheme="minorHAnsi" w:hAnsiTheme="minorHAnsi" w:cstheme="minorBidi"/>
          <w:color w:val="auto"/>
          <w:sz w:val="23"/>
          <w:szCs w:val="23"/>
          <w:lang w:val="en-US"/>
        </w:rPr>
        <w:t>o</w:t>
      </w:r>
      <w:r w:rsidRPr="00280AD5">
        <w:rPr>
          <w:rFonts w:asciiTheme="minorHAnsi" w:hAnsiTheme="minorHAnsi" w:cstheme="minorBidi"/>
          <w:color w:val="auto"/>
          <w:sz w:val="23"/>
          <w:szCs w:val="23"/>
          <w:lang w:val="en-US"/>
        </w:rPr>
        <w:t xml:space="preserve">f Record arrangements whenever possible and appropriate, regardless of the value of the procurement. </w:t>
      </w:r>
      <w:r w:rsidR="009D435E" w:rsidRPr="00280AD5">
        <w:rPr>
          <w:rFonts w:asciiTheme="minorHAnsi" w:hAnsiTheme="minorHAnsi" w:cstheme="minorBidi"/>
          <w:color w:val="auto"/>
          <w:sz w:val="23"/>
          <w:szCs w:val="23"/>
          <w:lang w:val="en-US"/>
        </w:rPr>
        <w:t>Click on link for list:</w:t>
      </w:r>
    </w:p>
    <w:p w14:paraId="2CC36AA6" w14:textId="7F501DBC" w:rsidR="009159FE" w:rsidRDefault="009D435E" w:rsidP="002A1F09">
      <w:pPr>
        <w:pStyle w:val="Default"/>
        <w:rPr>
          <w:rFonts w:ascii="Aptos Narrow" w:eastAsia="Times New Roman" w:hAnsi="Aptos Narrow" w:cs="Times New Roman"/>
          <w:color w:val="467886"/>
          <w:u w:val="single"/>
          <w:lang w:eastAsia="en-CA"/>
        </w:rPr>
      </w:pPr>
      <w:r w:rsidRPr="009D435E">
        <w:rPr>
          <w:rFonts w:ascii="Aptos Narrow" w:hAnsi="Aptos Narrow"/>
          <w:color w:val="467886"/>
          <w:u w:val="single"/>
        </w:rPr>
        <w:t xml:space="preserve"> </w:t>
      </w:r>
      <w:hyperlink r:id="rId12" w:history="1">
        <w:r w:rsidRPr="009D435E">
          <w:rPr>
            <w:rFonts w:ascii="Aptos Narrow" w:eastAsia="Times New Roman" w:hAnsi="Aptos Narrow" w:cs="Times New Roman"/>
            <w:color w:val="467886"/>
            <w:u w:val="single"/>
            <w:lang w:eastAsia="en-CA"/>
          </w:rPr>
          <w:t>VOR Search (gov.on.ca)</w:t>
        </w:r>
      </w:hyperlink>
    </w:p>
    <w:p w14:paraId="560C08BA" w14:textId="77777777" w:rsidR="004C09C0" w:rsidRPr="004C09C0" w:rsidRDefault="004C09C0" w:rsidP="002A1F09">
      <w:pPr>
        <w:pStyle w:val="Default"/>
        <w:rPr>
          <w:rFonts w:ascii="Aptos Narrow" w:eastAsia="Times New Roman" w:hAnsi="Aptos Narrow" w:cs="Times New Roman"/>
          <w:color w:val="467886"/>
          <w:u w:val="single"/>
          <w:lang w:eastAsia="en-CA"/>
        </w:rPr>
      </w:pPr>
    </w:p>
    <w:p w14:paraId="520F1E2D" w14:textId="162F39A7" w:rsidR="002A1F09" w:rsidRPr="00280AD5" w:rsidRDefault="00DD2852" w:rsidP="002A1F09">
      <w:pPr>
        <w:pStyle w:val="Default"/>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Any new contract, including any extensions, must not exceed two years.</w:t>
      </w:r>
      <w:r w:rsidR="007B44FB">
        <w:rPr>
          <w:rFonts w:asciiTheme="minorHAnsi" w:hAnsiTheme="minorHAnsi" w:cstheme="minorBidi"/>
          <w:color w:val="auto"/>
          <w:sz w:val="23"/>
          <w:szCs w:val="23"/>
          <w:lang w:val="en-US"/>
        </w:rPr>
        <w:t xml:space="preserve"> </w:t>
      </w:r>
      <w:r w:rsidR="002A1F09" w:rsidRPr="00280AD5">
        <w:rPr>
          <w:rFonts w:asciiTheme="minorHAnsi" w:hAnsiTheme="minorHAnsi" w:cstheme="minorBidi"/>
          <w:color w:val="auto"/>
          <w:sz w:val="23"/>
          <w:szCs w:val="23"/>
          <w:lang w:val="en-US"/>
        </w:rPr>
        <w:t xml:space="preserve">In limited and exceptional circumstances, FACS may find that it is not possible or appropriate to: </w:t>
      </w:r>
    </w:p>
    <w:p w14:paraId="29058B60" w14:textId="580D2185" w:rsidR="002A1F09" w:rsidRPr="00280AD5" w:rsidRDefault="002A1F09" w:rsidP="005037DE">
      <w:pPr>
        <w:pStyle w:val="Default"/>
        <w:numPr>
          <w:ilvl w:val="0"/>
          <w:numId w:val="4"/>
        </w:numPr>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 xml:space="preserve">Use a VOR arrangement that is available to the organization; and/or </w:t>
      </w:r>
    </w:p>
    <w:p w14:paraId="54C0B259" w14:textId="4953FECD" w:rsidR="002A1F09" w:rsidRPr="00280AD5" w:rsidRDefault="002A1F09" w:rsidP="005037DE">
      <w:pPr>
        <w:pStyle w:val="Default"/>
        <w:numPr>
          <w:ilvl w:val="0"/>
          <w:numId w:val="4"/>
        </w:numPr>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 xml:space="preserve">Restrict contract duration to two years </w:t>
      </w:r>
    </w:p>
    <w:p w14:paraId="73E55639" w14:textId="744BA07C" w:rsidR="002A1F09" w:rsidRPr="00280AD5" w:rsidRDefault="002A1F09" w:rsidP="002A1F09">
      <w:pPr>
        <w:pStyle w:val="Default"/>
        <w:rPr>
          <w:rFonts w:asciiTheme="minorHAnsi" w:hAnsiTheme="minorHAnsi" w:cstheme="minorBidi"/>
          <w:color w:val="auto"/>
          <w:sz w:val="23"/>
          <w:szCs w:val="23"/>
          <w:lang w:val="en-US"/>
        </w:rPr>
      </w:pPr>
      <w:r w:rsidRPr="00280AD5">
        <w:rPr>
          <w:rFonts w:asciiTheme="minorHAnsi" w:hAnsiTheme="minorHAnsi" w:cstheme="minorBidi"/>
          <w:color w:val="auto"/>
          <w:sz w:val="23"/>
          <w:szCs w:val="23"/>
          <w:lang w:val="en-US"/>
        </w:rPr>
        <w:t xml:space="preserve">In these situations, </w:t>
      </w:r>
      <w:r w:rsidR="00AD50EA" w:rsidRPr="00280AD5">
        <w:rPr>
          <w:rFonts w:asciiTheme="minorHAnsi" w:hAnsiTheme="minorHAnsi" w:cstheme="minorBidi"/>
          <w:color w:val="auto"/>
          <w:sz w:val="23"/>
          <w:szCs w:val="23"/>
          <w:lang w:val="en-US"/>
        </w:rPr>
        <w:t xml:space="preserve">inform the Finance supervisor as they </w:t>
      </w:r>
      <w:r w:rsidRPr="00280AD5">
        <w:rPr>
          <w:rFonts w:asciiTheme="minorHAnsi" w:hAnsiTheme="minorHAnsi" w:cstheme="minorBidi"/>
          <w:color w:val="auto"/>
          <w:sz w:val="23"/>
          <w:szCs w:val="23"/>
          <w:lang w:val="en-US"/>
        </w:rPr>
        <w:t xml:space="preserve">must complete a Procurement Rationale Report and submit it to the funding ministry at least 45 calendar days before the procurement is released to the vendor community. </w:t>
      </w:r>
    </w:p>
    <w:p w14:paraId="73C7E29A" w14:textId="4029B4D4" w:rsidR="002A1F09" w:rsidRDefault="002A1F09" w:rsidP="007B44FB">
      <w:pPr>
        <w:pStyle w:val="Default"/>
        <w:ind w:left="720"/>
        <w:rPr>
          <w:rFonts w:asciiTheme="minorHAnsi" w:hAnsiTheme="minorHAnsi" w:cstheme="minorBidi"/>
          <w:i/>
          <w:iCs/>
          <w:color w:val="auto"/>
          <w:sz w:val="22"/>
          <w:szCs w:val="22"/>
          <w:lang w:val="en-US"/>
        </w:rPr>
      </w:pPr>
      <w:r w:rsidRPr="005C648E">
        <w:rPr>
          <w:rFonts w:asciiTheme="minorHAnsi" w:hAnsiTheme="minorHAnsi" w:cstheme="minorBidi"/>
          <w:i/>
          <w:iCs/>
          <w:color w:val="auto"/>
          <w:sz w:val="22"/>
          <w:szCs w:val="22"/>
          <w:lang w:val="en-US"/>
        </w:rPr>
        <w:t>Note that submission of the form does not change the authority of the organization to proceed with the procurement. For clarity, once the report is submitted, the organization can proceed with the procurement.</w:t>
      </w:r>
    </w:p>
    <w:p w14:paraId="26B6AD72" w14:textId="6333A216" w:rsidR="002815F4" w:rsidRPr="005C648E" w:rsidRDefault="00160AD0" w:rsidP="002815F4">
      <w:pPr>
        <w:pStyle w:val="Default"/>
        <w:rPr>
          <w:rFonts w:asciiTheme="minorHAnsi" w:hAnsiTheme="minorHAnsi" w:cstheme="minorBidi"/>
          <w:i/>
          <w:iCs/>
          <w:color w:val="auto"/>
          <w:sz w:val="22"/>
          <w:szCs w:val="22"/>
          <w:lang w:val="en-US"/>
        </w:rPr>
      </w:pPr>
      <w:hyperlink r:id="rId13" w:history="1">
        <w:r w:rsidR="002815F4">
          <w:rPr>
            <w:rStyle w:val="Hyperlink"/>
          </w:rPr>
          <w:t>Procurement Rationale Report Form - Forms - Central Forms Repository (CFR) (gov.on.ca)</w:t>
        </w:r>
      </w:hyperlink>
    </w:p>
    <w:p w14:paraId="768B12C5" w14:textId="77777777" w:rsidR="00160AD0" w:rsidRDefault="00160AD0" w:rsidP="002A1F09">
      <w:pPr>
        <w:pStyle w:val="Default"/>
        <w:rPr>
          <w:rFonts w:asciiTheme="minorHAnsi" w:hAnsiTheme="minorHAnsi" w:cstheme="minorBidi"/>
          <w:color w:val="auto"/>
          <w:sz w:val="23"/>
          <w:szCs w:val="23"/>
          <w:lang w:val="en-US"/>
        </w:rPr>
        <w:sectPr w:rsidR="00160AD0" w:rsidSect="00160AD0">
          <w:headerReference w:type="default" r:id="rId14"/>
          <w:pgSz w:w="12240" w:h="15840"/>
          <w:pgMar w:top="720" w:right="2175" w:bottom="720" w:left="1134" w:header="720" w:footer="720" w:gutter="0"/>
          <w:cols w:space="720"/>
          <w:docGrid w:linePitch="360"/>
        </w:sectPr>
      </w:pPr>
    </w:p>
    <w:p w14:paraId="63E42984" w14:textId="77777777" w:rsidR="00280AD5" w:rsidRDefault="00280AD5" w:rsidP="002A1F09">
      <w:pPr>
        <w:pStyle w:val="Default"/>
        <w:rPr>
          <w:rFonts w:asciiTheme="minorHAnsi" w:hAnsiTheme="minorHAnsi" w:cstheme="minorBidi"/>
          <w:color w:val="auto"/>
          <w:sz w:val="23"/>
          <w:szCs w:val="23"/>
          <w:lang w:val="en-US"/>
        </w:rPr>
      </w:pPr>
    </w:p>
    <w:tbl>
      <w:tblPr>
        <w:tblStyle w:val="TableGrid"/>
        <w:tblW w:w="0" w:type="auto"/>
        <w:tblLook w:val="04A0" w:firstRow="1" w:lastRow="0" w:firstColumn="1" w:lastColumn="0" w:noHBand="0" w:noVBand="1"/>
      </w:tblPr>
      <w:tblGrid>
        <w:gridCol w:w="8921"/>
      </w:tblGrid>
      <w:tr w:rsidR="00280AD5" w:rsidRPr="003E1AC2" w14:paraId="46D06375" w14:textId="77777777" w:rsidTr="00D96201">
        <w:tc>
          <w:tcPr>
            <w:tcW w:w="9350" w:type="dxa"/>
            <w:shd w:val="clear" w:color="auto" w:fill="EDEDED" w:themeFill="accent3" w:themeFillTint="33"/>
          </w:tcPr>
          <w:p w14:paraId="07EDBF4B" w14:textId="5DA8C338" w:rsidR="00280AD5" w:rsidRPr="003E1AC2" w:rsidRDefault="00280AD5" w:rsidP="00D96201">
            <w:pPr>
              <w:rPr>
                <w:b/>
                <w:bCs/>
              </w:rPr>
            </w:pPr>
            <w:r>
              <w:rPr>
                <w:rFonts w:ascii="Abadi" w:hAnsi="Abadi"/>
                <w:b/>
                <w:bCs/>
              </w:rPr>
              <w:t>Exemptions:</w:t>
            </w:r>
          </w:p>
        </w:tc>
      </w:tr>
    </w:tbl>
    <w:p w14:paraId="75FBFCD4" w14:textId="77777777" w:rsidR="00280AD5" w:rsidRDefault="00280AD5" w:rsidP="002A1F09">
      <w:pPr>
        <w:pStyle w:val="Default"/>
        <w:rPr>
          <w:rFonts w:asciiTheme="minorHAnsi" w:hAnsiTheme="minorHAnsi" w:cstheme="minorBidi"/>
          <w:color w:val="auto"/>
          <w:sz w:val="23"/>
          <w:szCs w:val="23"/>
          <w:lang w:val="en-US"/>
        </w:rPr>
      </w:pPr>
    </w:p>
    <w:p w14:paraId="5D17659C" w14:textId="08C93D63" w:rsidR="00280AD5" w:rsidRPr="005C648E" w:rsidRDefault="00280AD5" w:rsidP="005C648E">
      <w:pPr>
        <w:pStyle w:val="Default"/>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The following goods and services are not prescribed for the purposes of this policy (the Act):</w:t>
      </w:r>
    </w:p>
    <w:p w14:paraId="49B53CE7" w14:textId="77777777" w:rsidR="005C648E" w:rsidRDefault="00280AD5" w:rsidP="005037DE">
      <w:pPr>
        <w:pStyle w:val="Default"/>
        <w:numPr>
          <w:ilvl w:val="0"/>
          <w:numId w:val="3"/>
        </w:numPr>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 xml:space="preserve">A good or service required for an emergency. </w:t>
      </w:r>
    </w:p>
    <w:p w14:paraId="2F0A1DDB" w14:textId="77777777" w:rsidR="005C648E" w:rsidRDefault="00280AD5" w:rsidP="005037DE">
      <w:pPr>
        <w:pStyle w:val="Default"/>
        <w:numPr>
          <w:ilvl w:val="0"/>
          <w:numId w:val="3"/>
        </w:numPr>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 xml:space="preserve">A good or service procured pursuant to a standing offer, vendor of record arrangement or a multi-use list. </w:t>
      </w:r>
    </w:p>
    <w:p w14:paraId="2FB8D7A3" w14:textId="0E09F509" w:rsidR="00280AD5" w:rsidRPr="005C648E" w:rsidRDefault="00280AD5" w:rsidP="005037DE">
      <w:pPr>
        <w:pStyle w:val="Default"/>
        <w:numPr>
          <w:ilvl w:val="0"/>
          <w:numId w:val="3"/>
        </w:numPr>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 xml:space="preserve">A good or service procured for commercial sale or resale or for use in the production of a good or service intended for commercial sale or resale. </w:t>
      </w:r>
    </w:p>
    <w:p w14:paraId="61354235" w14:textId="77777777" w:rsidR="00280AD5" w:rsidRPr="005C648E" w:rsidRDefault="00280AD5" w:rsidP="005037DE">
      <w:pPr>
        <w:pStyle w:val="Default"/>
        <w:numPr>
          <w:ilvl w:val="0"/>
          <w:numId w:val="3"/>
        </w:numPr>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 xml:space="preserve">The services of a lawyer, paralegal or notary public. </w:t>
      </w:r>
    </w:p>
    <w:p w14:paraId="5339DBB8" w14:textId="77777777" w:rsidR="00280AD5" w:rsidRPr="005C648E" w:rsidRDefault="00280AD5" w:rsidP="00160AD0">
      <w:pPr>
        <w:pStyle w:val="Default"/>
        <w:numPr>
          <w:ilvl w:val="0"/>
          <w:numId w:val="3"/>
        </w:numPr>
        <w:ind w:left="709"/>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 xml:space="preserve">The services of an expert witness to be used in a court or legal proceeding. </w:t>
      </w:r>
    </w:p>
    <w:p w14:paraId="3AE742FE" w14:textId="6F0BB498" w:rsidR="000928C3" w:rsidRDefault="00280AD5" w:rsidP="000928C3">
      <w:pPr>
        <w:pStyle w:val="Default"/>
        <w:numPr>
          <w:ilvl w:val="0"/>
          <w:numId w:val="3"/>
        </w:numPr>
        <w:rPr>
          <w:rFonts w:asciiTheme="minorHAnsi" w:hAnsiTheme="minorHAnsi" w:cstheme="minorBidi"/>
          <w:color w:val="auto"/>
          <w:sz w:val="23"/>
          <w:szCs w:val="23"/>
          <w:lang w:val="en-US"/>
        </w:rPr>
      </w:pPr>
      <w:r w:rsidRPr="005C648E">
        <w:rPr>
          <w:rFonts w:asciiTheme="minorHAnsi" w:hAnsiTheme="minorHAnsi" w:cstheme="minorBidi"/>
          <w:color w:val="auto"/>
          <w:sz w:val="23"/>
          <w:szCs w:val="23"/>
          <w:lang w:val="en-US"/>
        </w:rPr>
        <w:t xml:space="preserve">A good or service that is not available from an Ontario business. </w:t>
      </w:r>
    </w:p>
    <w:p w14:paraId="662DC664" w14:textId="77777777" w:rsidR="000928C3" w:rsidRDefault="000928C3" w:rsidP="000928C3">
      <w:pPr>
        <w:pStyle w:val="Default"/>
        <w:rPr>
          <w:rFonts w:asciiTheme="minorHAnsi" w:hAnsiTheme="minorHAnsi" w:cstheme="minorBidi"/>
          <w:color w:val="auto"/>
          <w:sz w:val="23"/>
          <w:szCs w:val="23"/>
          <w:lang w:val="en-US"/>
        </w:rPr>
      </w:pPr>
    </w:p>
    <w:p w14:paraId="25657817" w14:textId="10AE72DF" w:rsidR="007B44FB" w:rsidRDefault="00D3110D" w:rsidP="007B44FB">
      <w:pPr>
        <w:pStyle w:val="Default"/>
        <w:adjustRightInd/>
        <w:rPr>
          <w:rFonts w:ascii="Abadi" w:hAnsi="Abadi"/>
          <w:color w:val="1A181A"/>
          <w:sz w:val="22"/>
          <w:szCs w:val="22"/>
        </w:rPr>
      </w:pPr>
      <w:r>
        <w:rPr>
          <w:rFonts w:ascii="Abadi" w:hAnsi="Abadi"/>
          <w:color w:val="1A181A"/>
          <w:sz w:val="22"/>
          <w:szCs w:val="22"/>
        </w:rPr>
        <w:t xml:space="preserve">Complete Procurement policy can be found within the </w:t>
      </w:r>
      <w:r w:rsidRPr="00160AD0">
        <w:rPr>
          <w:rFonts w:ascii="Abadi" w:hAnsi="Abadi"/>
          <w:sz w:val="22"/>
          <w:szCs w:val="22"/>
        </w:rPr>
        <w:t>Finance Policy</w:t>
      </w:r>
    </w:p>
    <w:sectPr w:rsidR="007B44FB" w:rsidSect="00160AD0">
      <w:pgSz w:w="12240" w:h="15840"/>
      <w:pgMar w:top="720" w:right="2175"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293E" w14:textId="77777777" w:rsidR="00C22C9C" w:rsidRDefault="00C22C9C" w:rsidP="00BA4FDE">
      <w:pPr>
        <w:spacing w:after="0" w:line="240" w:lineRule="auto"/>
      </w:pPr>
      <w:r>
        <w:separator/>
      </w:r>
    </w:p>
  </w:endnote>
  <w:endnote w:type="continuationSeparator" w:id="0">
    <w:p w14:paraId="15FEDAF3" w14:textId="77777777" w:rsidR="00C22C9C" w:rsidRDefault="00C22C9C" w:rsidP="00BA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752D" w14:textId="77777777" w:rsidR="00C22C9C" w:rsidRDefault="00C22C9C" w:rsidP="00BA4FDE">
      <w:pPr>
        <w:spacing w:after="0" w:line="240" w:lineRule="auto"/>
      </w:pPr>
      <w:r>
        <w:separator/>
      </w:r>
    </w:p>
  </w:footnote>
  <w:footnote w:type="continuationSeparator" w:id="0">
    <w:p w14:paraId="77647430" w14:textId="77777777" w:rsidR="00C22C9C" w:rsidRDefault="00C22C9C" w:rsidP="00BA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7AB4" w14:textId="2D183BAA" w:rsidR="00BA4FDE" w:rsidRDefault="00BA4FDE">
    <w:pPr>
      <w:pStyle w:val="Header"/>
    </w:pPr>
    <w:r>
      <w:rPr>
        <w:noProof/>
      </w:rPr>
      <w:drawing>
        <wp:inline distT="0" distB="0" distL="0" distR="0" wp14:anchorId="15B5A514" wp14:editId="29452F62">
          <wp:extent cx="3060700" cy="9047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7968" cy="9127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8609" w14:textId="0E87F585" w:rsidR="00506FF3" w:rsidRDefault="0050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C5C"/>
    <w:multiLevelType w:val="hybridMultilevel"/>
    <w:tmpl w:val="C0BEB7F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823A8"/>
    <w:multiLevelType w:val="hybridMultilevel"/>
    <w:tmpl w:val="469668A4"/>
    <w:lvl w:ilvl="0" w:tplc="CC4C20E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C08753"/>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260367DF"/>
    <w:multiLevelType w:val="hybridMultilevel"/>
    <w:tmpl w:val="49CC965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3A2A97"/>
    <w:multiLevelType w:val="hybridMultilevel"/>
    <w:tmpl w:val="5DAAC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631F10"/>
    <w:multiLevelType w:val="hybridMultilevel"/>
    <w:tmpl w:val="CBF89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495761"/>
    <w:multiLevelType w:val="hybridMultilevel"/>
    <w:tmpl w:val="FD7E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8D034F"/>
    <w:multiLevelType w:val="hybridMultilevel"/>
    <w:tmpl w:val="FA7C0C9E"/>
    <w:lvl w:ilvl="0" w:tplc="CC4C20E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2B5101"/>
    <w:multiLevelType w:val="hybridMultilevel"/>
    <w:tmpl w:val="AA482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02281A"/>
    <w:multiLevelType w:val="hybridMultilevel"/>
    <w:tmpl w:val="5B5E8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8607138">
    <w:abstractNumId w:val="3"/>
  </w:num>
  <w:num w:numId="2" w16cid:durableId="1989093988">
    <w:abstractNumId w:val="9"/>
  </w:num>
  <w:num w:numId="3" w16cid:durableId="1383559955">
    <w:abstractNumId w:val="10"/>
  </w:num>
  <w:num w:numId="4" w16cid:durableId="107312233">
    <w:abstractNumId w:val="5"/>
  </w:num>
  <w:num w:numId="5" w16cid:durableId="38752613">
    <w:abstractNumId w:val="4"/>
  </w:num>
  <w:num w:numId="6" w16cid:durableId="753744537">
    <w:abstractNumId w:val="6"/>
  </w:num>
  <w:num w:numId="7" w16cid:durableId="1766876011">
    <w:abstractNumId w:val="7"/>
  </w:num>
  <w:num w:numId="8" w16cid:durableId="2129736175">
    <w:abstractNumId w:val="8"/>
  </w:num>
  <w:num w:numId="9" w16cid:durableId="2096902593">
    <w:abstractNumId w:val="1"/>
  </w:num>
  <w:num w:numId="10" w16cid:durableId="1393381193">
    <w:abstractNumId w:val="0"/>
  </w:num>
  <w:num w:numId="11" w16cid:durableId="98940566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E"/>
    <w:rsid w:val="00060D32"/>
    <w:rsid w:val="0007398A"/>
    <w:rsid w:val="000928C3"/>
    <w:rsid w:val="000A25EA"/>
    <w:rsid w:val="000C34C4"/>
    <w:rsid w:val="000C35A9"/>
    <w:rsid w:val="0010225F"/>
    <w:rsid w:val="00115BEB"/>
    <w:rsid w:val="0013707D"/>
    <w:rsid w:val="0015745F"/>
    <w:rsid w:val="00160AD0"/>
    <w:rsid w:val="00174CAE"/>
    <w:rsid w:val="0019364D"/>
    <w:rsid w:val="001A47F9"/>
    <w:rsid w:val="001B3F9A"/>
    <w:rsid w:val="001D195F"/>
    <w:rsid w:val="001D5139"/>
    <w:rsid w:val="001E7DF6"/>
    <w:rsid w:val="001F256D"/>
    <w:rsid w:val="00221C99"/>
    <w:rsid w:val="00227B61"/>
    <w:rsid w:val="002457E5"/>
    <w:rsid w:val="00247637"/>
    <w:rsid w:val="002552F4"/>
    <w:rsid w:val="0025612D"/>
    <w:rsid w:val="002678D1"/>
    <w:rsid w:val="00280AD5"/>
    <w:rsid w:val="002815F4"/>
    <w:rsid w:val="00286301"/>
    <w:rsid w:val="002A1A14"/>
    <w:rsid w:val="002A1F09"/>
    <w:rsid w:val="002E6D75"/>
    <w:rsid w:val="002F3625"/>
    <w:rsid w:val="00340493"/>
    <w:rsid w:val="00342F29"/>
    <w:rsid w:val="00347BB6"/>
    <w:rsid w:val="003626AC"/>
    <w:rsid w:val="00367975"/>
    <w:rsid w:val="003761AD"/>
    <w:rsid w:val="00393223"/>
    <w:rsid w:val="003C1EF9"/>
    <w:rsid w:val="003C2E7C"/>
    <w:rsid w:val="003C6D59"/>
    <w:rsid w:val="003C6FD3"/>
    <w:rsid w:val="003D240B"/>
    <w:rsid w:val="003E1AC2"/>
    <w:rsid w:val="00405152"/>
    <w:rsid w:val="004410E3"/>
    <w:rsid w:val="004613FC"/>
    <w:rsid w:val="00474817"/>
    <w:rsid w:val="00484DBB"/>
    <w:rsid w:val="00493DCF"/>
    <w:rsid w:val="004A2D2A"/>
    <w:rsid w:val="004A4816"/>
    <w:rsid w:val="004A51E7"/>
    <w:rsid w:val="004A6E70"/>
    <w:rsid w:val="004C09C0"/>
    <w:rsid w:val="004D34B9"/>
    <w:rsid w:val="004F6729"/>
    <w:rsid w:val="005037DE"/>
    <w:rsid w:val="00506FF3"/>
    <w:rsid w:val="005171D3"/>
    <w:rsid w:val="00531504"/>
    <w:rsid w:val="00534588"/>
    <w:rsid w:val="00537391"/>
    <w:rsid w:val="0054020C"/>
    <w:rsid w:val="00542FCB"/>
    <w:rsid w:val="00544DB2"/>
    <w:rsid w:val="00545F8D"/>
    <w:rsid w:val="0055415F"/>
    <w:rsid w:val="0055539B"/>
    <w:rsid w:val="00555BA0"/>
    <w:rsid w:val="005737E4"/>
    <w:rsid w:val="005A3C25"/>
    <w:rsid w:val="005C648E"/>
    <w:rsid w:val="005D4163"/>
    <w:rsid w:val="005D4777"/>
    <w:rsid w:val="005D55D6"/>
    <w:rsid w:val="005E06E3"/>
    <w:rsid w:val="005E35EC"/>
    <w:rsid w:val="005F63E2"/>
    <w:rsid w:val="00600F10"/>
    <w:rsid w:val="00607960"/>
    <w:rsid w:val="00615975"/>
    <w:rsid w:val="00615EDE"/>
    <w:rsid w:val="00626F7C"/>
    <w:rsid w:val="00641596"/>
    <w:rsid w:val="00646D90"/>
    <w:rsid w:val="006B699E"/>
    <w:rsid w:val="006F335E"/>
    <w:rsid w:val="00702C57"/>
    <w:rsid w:val="00705F5A"/>
    <w:rsid w:val="007073F9"/>
    <w:rsid w:val="007307E7"/>
    <w:rsid w:val="00740117"/>
    <w:rsid w:val="00744157"/>
    <w:rsid w:val="007450CC"/>
    <w:rsid w:val="007561A4"/>
    <w:rsid w:val="0076123B"/>
    <w:rsid w:val="007649DA"/>
    <w:rsid w:val="007751C6"/>
    <w:rsid w:val="00776A9D"/>
    <w:rsid w:val="0078357A"/>
    <w:rsid w:val="007B44FB"/>
    <w:rsid w:val="007D798E"/>
    <w:rsid w:val="007E0340"/>
    <w:rsid w:val="007F2D28"/>
    <w:rsid w:val="00804516"/>
    <w:rsid w:val="00821143"/>
    <w:rsid w:val="00860E88"/>
    <w:rsid w:val="0088150C"/>
    <w:rsid w:val="0088778C"/>
    <w:rsid w:val="008A58FC"/>
    <w:rsid w:val="008A7E7E"/>
    <w:rsid w:val="008B0402"/>
    <w:rsid w:val="008B4655"/>
    <w:rsid w:val="008B612C"/>
    <w:rsid w:val="008B725C"/>
    <w:rsid w:val="008C26F9"/>
    <w:rsid w:val="008E5AD1"/>
    <w:rsid w:val="008F4C68"/>
    <w:rsid w:val="008F6F2D"/>
    <w:rsid w:val="00902536"/>
    <w:rsid w:val="009055D9"/>
    <w:rsid w:val="00913444"/>
    <w:rsid w:val="009159FE"/>
    <w:rsid w:val="00933E24"/>
    <w:rsid w:val="00953CED"/>
    <w:rsid w:val="009934EB"/>
    <w:rsid w:val="0099404C"/>
    <w:rsid w:val="00994C16"/>
    <w:rsid w:val="00994CDE"/>
    <w:rsid w:val="009A3798"/>
    <w:rsid w:val="009A7E17"/>
    <w:rsid w:val="009B2C00"/>
    <w:rsid w:val="009D435E"/>
    <w:rsid w:val="009D733F"/>
    <w:rsid w:val="009F69FC"/>
    <w:rsid w:val="00A06525"/>
    <w:rsid w:val="00A07804"/>
    <w:rsid w:val="00A10D32"/>
    <w:rsid w:val="00A14E2F"/>
    <w:rsid w:val="00A211DB"/>
    <w:rsid w:val="00A30CEB"/>
    <w:rsid w:val="00A31333"/>
    <w:rsid w:val="00A339DC"/>
    <w:rsid w:val="00A648B4"/>
    <w:rsid w:val="00A70B93"/>
    <w:rsid w:val="00A82DC4"/>
    <w:rsid w:val="00A92D96"/>
    <w:rsid w:val="00AA46BB"/>
    <w:rsid w:val="00AA75CE"/>
    <w:rsid w:val="00AB5BC0"/>
    <w:rsid w:val="00AD50EA"/>
    <w:rsid w:val="00AE7695"/>
    <w:rsid w:val="00B14341"/>
    <w:rsid w:val="00B34AC6"/>
    <w:rsid w:val="00B36C77"/>
    <w:rsid w:val="00B427FA"/>
    <w:rsid w:val="00B8095F"/>
    <w:rsid w:val="00B877F2"/>
    <w:rsid w:val="00B95830"/>
    <w:rsid w:val="00B976C6"/>
    <w:rsid w:val="00BA020B"/>
    <w:rsid w:val="00BA25E4"/>
    <w:rsid w:val="00BA4FDE"/>
    <w:rsid w:val="00BC4E8B"/>
    <w:rsid w:val="00C02B4F"/>
    <w:rsid w:val="00C07926"/>
    <w:rsid w:val="00C150E6"/>
    <w:rsid w:val="00C175D4"/>
    <w:rsid w:val="00C22C9C"/>
    <w:rsid w:val="00C32DB9"/>
    <w:rsid w:val="00C742F4"/>
    <w:rsid w:val="00C80DDB"/>
    <w:rsid w:val="00C830F9"/>
    <w:rsid w:val="00CE1F1A"/>
    <w:rsid w:val="00CF45D2"/>
    <w:rsid w:val="00D3110D"/>
    <w:rsid w:val="00D34FF2"/>
    <w:rsid w:val="00D47BA7"/>
    <w:rsid w:val="00D5427C"/>
    <w:rsid w:val="00D64DF4"/>
    <w:rsid w:val="00D657E5"/>
    <w:rsid w:val="00D73AA6"/>
    <w:rsid w:val="00D93B96"/>
    <w:rsid w:val="00DD2852"/>
    <w:rsid w:val="00DD2A17"/>
    <w:rsid w:val="00DE730E"/>
    <w:rsid w:val="00DF43A9"/>
    <w:rsid w:val="00E2730B"/>
    <w:rsid w:val="00E44854"/>
    <w:rsid w:val="00E51A43"/>
    <w:rsid w:val="00E523A4"/>
    <w:rsid w:val="00EB6BC3"/>
    <w:rsid w:val="00ED63D1"/>
    <w:rsid w:val="00F22571"/>
    <w:rsid w:val="00F50876"/>
    <w:rsid w:val="00F738F1"/>
    <w:rsid w:val="00F9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FBE9"/>
  <w15:docId w15:val="{DDD16381-BB7D-49DE-9A34-C37C983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DD2A17"/>
    <w:pPr>
      <w:keepNext/>
      <w:keepLines/>
      <w:spacing w:after="0"/>
      <w:outlineLvl w:val="7"/>
    </w:pPr>
    <w:rPr>
      <w:rFonts w:eastAsiaTheme="majorEastAsia" w:cstheme="majorBidi"/>
      <w:i/>
      <w:iCs/>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FDE"/>
  </w:style>
  <w:style w:type="paragraph" w:styleId="Footer">
    <w:name w:val="footer"/>
    <w:basedOn w:val="Normal"/>
    <w:link w:val="FooterChar"/>
    <w:uiPriority w:val="99"/>
    <w:unhideWhenUsed/>
    <w:rsid w:val="00BA4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FDE"/>
  </w:style>
  <w:style w:type="table" w:styleId="TableGrid">
    <w:name w:val="Table Grid"/>
    <w:basedOn w:val="TableNormal"/>
    <w:uiPriority w:val="39"/>
    <w:rsid w:val="00BA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20C"/>
    <w:pPr>
      <w:spacing w:after="0" w:line="240" w:lineRule="auto"/>
    </w:pPr>
    <w:rPr>
      <w:rFonts w:ascii="Tahoma" w:eastAsia="Times New Roman" w:hAnsi="Tahoma" w:cs="Tahoma"/>
      <w:sz w:val="16"/>
      <w:szCs w:val="16"/>
      <w:lang w:val="en-CA" w:eastAsia="en-CA"/>
    </w:rPr>
  </w:style>
  <w:style w:type="character" w:customStyle="1" w:styleId="BalloonTextChar">
    <w:name w:val="Balloon Text Char"/>
    <w:basedOn w:val="DefaultParagraphFont"/>
    <w:link w:val="BalloonText"/>
    <w:uiPriority w:val="99"/>
    <w:semiHidden/>
    <w:rsid w:val="0054020C"/>
    <w:rPr>
      <w:rFonts w:ascii="Tahoma" w:eastAsia="Times New Roman" w:hAnsi="Tahoma" w:cs="Tahoma"/>
      <w:sz w:val="16"/>
      <w:szCs w:val="16"/>
      <w:lang w:val="en-CA" w:eastAsia="en-CA"/>
    </w:rPr>
  </w:style>
  <w:style w:type="paragraph" w:styleId="ListParagraph">
    <w:name w:val="List Paragraph"/>
    <w:basedOn w:val="Normal"/>
    <w:uiPriority w:val="34"/>
    <w:qFormat/>
    <w:rsid w:val="00D657E5"/>
    <w:pPr>
      <w:ind w:left="720"/>
      <w:contextualSpacing/>
    </w:pPr>
  </w:style>
  <w:style w:type="character" w:styleId="CommentReference">
    <w:name w:val="annotation reference"/>
    <w:basedOn w:val="DefaultParagraphFont"/>
    <w:uiPriority w:val="99"/>
    <w:semiHidden/>
    <w:unhideWhenUsed/>
    <w:rsid w:val="003626AC"/>
    <w:rPr>
      <w:sz w:val="16"/>
      <w:szCs w:val="16"/>
    </w:rPr>
  </w:style>
  <w:style w:type="paragraph" w:styleId="CommentText">
    <w:name w:val="annotation text"/>
    <w:basedOn w:val="Normal"/>
    <w:link w:val="CommentTextChar"/>
    <w:uiPriority w:val="99"/>
    <w:unhideWhenUsed/>
    <w:rsid w:val="003626AC"/>
    <w:pPr>
      <w:spacing w:line="240" w:lineRule="auto"/>
    </w:pPr>
    <w:rPr>
      <w:sz w:val="20"/>
      <w:szCs w:val="20"/>
    </w:rPr>
  </w:style>
  <w:style w:type="character" w:customStyle="1" w:styleId="CommentTextChar">
    <w:name w:val="Comment Text Char"/>
    <w:basedOn w:val="DefaultParagraphFont"/>
    <w:link w:val="CommentText"/>
    <w:uiPriority w:val="99"/>
    <w:rsid w:val="003626AC"/>
    <w:rPr>
      <w:sz w:val="20"/>
      <w:szCs w:val="20"/>
    </w:rPr>
  </w:style>
  <w:style w:type="paragraph" w:styleId="CommentSubject">
    <w:name w:val="annotation subject"/>
    <w:basedOn w:val="CommentText"/>
    <w:next w:val="CommentText"/>
    <w:link w:val="CommentSubjectChar"/>
    <w:uiPriority w:val="99"/>
    <w:semiHidden/>
    <w:unhideWhenUsed/>
    <w:rsid w:val="003626AC"/>
    <w:rPr>
      <w:b/>
      <w:bCs/>
    </w:rPr>
  </w:style>
  <w:style w:type="character" w:customStyle="1" w:styleId="CommentSubjectChar">
    <w:name w:val="Comment Subject Char"/>
    <w:basedOn w:val="CommentTextChar"/>
    <w:link w:val="CommentSubject"/>
    <w:uiPriority w:val="99"/>
    <w:semiHidden/>
    <w:rsid w:val="003626AC"/>
    <w:rPr>
      <w:b/>
      <w:bCs/>
      <w:sz w:val="20"/>
      <w:szCs w:val="20"/>
    </w:rPr>
  </w:style>
  <w:style w:type="paragraph" w:customStyle="1" w:styleId="Default">
    <w:name w:val="Default"/>
    <w:rsid w:val="008A7E7E"/>
    <w:pPr>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534588"/>
    <w:rPr>
      <w:color w:val="0563C1" w:themeColor="hyperlink"/>
      <w:u w:val="single"/>
    </w:rPr>
  </w:style>
  <w:style w:type="character" w:styleId="UnresolvedMention">
    <w:name w:val="Unresolved Mention"/>
    <w:basedOn w:val="DefaultParagraphFont"/>
    <w:uiPriority w:val="99"/>
    <w:semiHidden/>
    <w:unhideWhenUsed/>
    <w:rsid w:val="00534588"/>
    <w:rPr>
      <w:color w:val="605E5C"/>
      <w:shd w:val="clear" w:color="auto" w:fill="E1DFDD"/>
    </w:rPr>
  </w:style>
  <w:style w:type="character" w:customStyle="1" w:styleId="Heading8Char">
    <w:name w:val="Heading 8 Char"/>
    <w:basedOn w:val="DefaultParagraphFont"/>
    <w:link w:val="Heading8"/>
    <w:uiPriority w:val="9"/>
    <w:semiHidden/>
    <w:rsid w:val="00DD2A17"/>
    <w:rPr>
      <w:rFonts w:eastAsiaTheme="majorEastAsia" w:cstheme="majorBidi"/>
      <w:i/>
      <w:iCs/>
      <w:color w:val="272727" w:themeColor="text1" w:themeTint="D8"/>
      <w:kern w:val="2"/>
      <w:lang w:val="en-CA"/>
      <w14:ligatures w14:val="standardContextual"/>
    </w:rPr>
  </w:style>
  <w:style w:type="character" w:styleId="FollowedHyperlink">
    <w:name w:val="FollowedHyperlink"/>
    <w:basedOn w:val="DefaultParagraphFont"/>
    <w:uiPriority w:val="99"/>
    <w:semiHidden/>
    <w:unhideWhenUsed/>
    <w:rsid w:val="00160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098603">
      <w:bodyDiv w:val="1"/>
      <w:marLeft w:val="0"/>
      <w:marRight w:val="0"/>
      <w:marTop w:val="0"/>
      <w:marBottom w:val="0"/>
      <w:divBdr>
        <w:top w:val="none" w:sz="0" w:space="0" w:color="auto"/>
        <w:left w:val="none" w:sz="0" w:space="0" w:color="auto"/>
        <w:bottom w:val="none" w:sz="0" w:space="0" w:color="auto"/>
        <w:right w:val="none" w:sz="0" w:space="0" w:color="auto"/>
      </w:divBdr>
    </w:div>
    <w:div w:id="626279207">
      <w:bodyDiv w:val="1"/>
      <w:marLeft w:val="0"/>
      <w:marRight w:val="0"/>
      <w:marTop w:val="0"/>
      <w:marBottom w:val="0"/>
      <w:divBdr>
        <w:top w:val="none" w:sz="0" w:space="0" w:color="auto"/>
        <w:left w:val="none" w:sz="0" w:space="0" w:color="auto"/>
        <w:bottom w:val="none" w:sz="0" w:space="0" w:color="auto"/>
        <w:right w:val="none" w:sz="0" w:space="0" w:color="auto"/>
      </w:divBdr>
    </w:div>
    <w:div w:id="941886703">
      <w:bodyDiv w:val="1"/>
      <w:marLeft w:val="0"/>
      <w:marRight w:val="0"/>
      <w:marTop w:val="0"/>
      <w:marBottom w:val="0"/>
      <w:divBdr>
        <w:top w:val="none" w:sz="0" w:space="0" w:color="auto"/>
        <w:left w:val="none" w:sz="0" w:space="0" w:color="auto"/>
        <w:bottom w:val="none" w:sz="0" w:space="0" w:color="auto"/>
        <w:right w:val="none" w:sz="0" w:space="0" w:color="auto"/>
      </w:divBdr>
    </w:div>
    <w:div w:id="1184828793">
      <w:bodyDiv w:val="1"/>
      <w:marLeft w:val="0"/>
      <w:marRight w:val="0"/>
      <w:marTop w:val="0"/>
      <w:marBottom w:val="0"/>
      <w:divBdr>
        <w:top w:val="none" w:sz="0" w:space="0" w:color="auto"/>
        <w:left w:val="none" w:sz="0" w:space="0" w:color="auto"/>
        <w:bottom w:val="none" w:sz="0" w:space="0" w:color="auto"/>
        <w:right w:val="none" w:sz="0" w:space="0" w:color="auto"/>
      </w:divBdr>
    </w:div>
    <w:div w:id="135846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mgcs.gov.on.ca/dataset/002-535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ingbusiness.mgs.gov.on.ca/mbs/psb/psb.nsf/vorsearch?open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7760E01F8C848A5A5EC5B0E3F47CC" ma:contentTypeVersion="7" ma:contentTypeDescription="Create a new document." ma:contentTypeScope="" ma:versionID="54d01b3949bd7f38e2b6f3ae3184ee52">
  <xsd:schema xmlns:xsd="http://www.w3.org/2001/XMLSchema" xmlns:xs="http://www.w3.org/2001/XMLSchema" xmlns:p="http://schemas.microsoft.com/office/2006/metadata/properties" xmlns:ns3="81298f82-d4b6-4931-9d06-44f3e3704935" xmlns:ns4="65a61740-bc05-44e1-8126-560e10399b1e" targetNamespace="http://schemas.microsoft.com/office/2006/metadata/properties" ma:root="true" ma:fieldsID="79bb682cdb925a42df52160d60daa5f7" ns3:_="" ns4:_="">
    <xsd:import namespace="81298f82-d4b6-4931-9d06-44f3e3704935"/>
    <xsd:import namespace="65a61740-bc05-44e1-8126-560e10399b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8f82-d4b6-4931-9d06-44f3e3704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a61740-bc05-44e1-8126-560e10399b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18514-30D8-4F16-A99A-9A49AC24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8f82-d4b6-4931-9d06-44f3e3704935"/>
    <ds:schemaRef ds:uri="65a61740-bc05-44e1-8126-560e1039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3BFF-D853-4A01-B6B6-F908462AD022}">
  <ds:schemaRefs>
    <ds:schemaRef ds:uri="http://schemas.microsoft.com/sharepoint/v3/contenttype/forms"/>
  </ds:schemaRefs>
</ds:datastoreItem>
</file>

<file path=customXml/itemProps3.xml><?xml version="1.0" encoding="utf-8"?>
<ds:datastoreItem xmlns:ds="http://schemas.openxmlformats.org/officeDocument/2006/customXml" ds:itemID="{3F8C429C-9422-4F3B-B828-6F97C6BDDF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 Tumanyan</dc:creator>
  <cp:keywords/>
  <dc:description/>
  <cp:lastModifiedBy>Jade Boswarva</cp:lastModifiedBy>
  <cp:revision>2</cp:revision>
  <dcterms:created xsi:type="dcterms:W3CDTF">2024-11-14T14:22:00Z</dcterms:created>
  <dcterms:modified xsi:type="dcterms:W3CDTF">2024-11-14T14:22:00Z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0x0101008657760E01F8C848A5A5EC5B0E3F47CC</vt:lpwstr>
  </property>
</Properties>
</file>